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kern w:val="0"/>
          <w:sz w:val="30"/>
          <w:szCs w:val="30"/>
          <w:shd w:val="clear" w:color="auto" w:fill="FFFFFF"/>
          <w:lang w:eastAsia="zh-CN"/>
        </w:rPr>
      </w:pPr>
      <w:r>
        <w:rPr>
          <w:rFonts w:hint="eastAsia" w:ascii="宋体" w:hAnsi="宋体" w:eastAsia="宋体" w:cs="宋体"/>
          <w:color w:val="333333"/>
          <w:kern w:val="0"/>
          <w:sz w:val="30"/>
          <w:szCs w:val="30"/>
          <w:shd w:val="clear" w:color="auto" w:fill="FFFFFF"/>
        </w:rPr>
        <w:t>附件</w:t>
      </w:r>
      <w:r>
        <w:rPr>
          <w:rFonts w:hint="eastAsia" w:ascii="宋体" w:hAnsi="宋体" w:eastAsia="宋体" w:cs="宋体"/>
          <w:color w:val="333333"/>
          <w:kern w:val="0"/>
          <w:sz w:val="30"/>
          <w:szCs w:val="30"/>
          <w:shd w:val="clear" w:color="auto" w:fill="FFFFFF"/>
          <w:lang w:val="en-US" w:eastAsia="zh-CN"/>
        </w:rPr>
        <w:t>3</w:t>
      </w:r>
    </w:p>
    <w:p>
      <w:pPr>
        <w:jc w:val="center"/>
        <w:rPr>
          <w:rFonts w:hint="eastAsia" w:ascii="黑体" w:hAnsi="黑体" w:eastAsia="黑体"/>
          <w:b/>
          <w:sz w:val="36"/>
          <w:szCs w:val="36"/>
        </w:rPr>
      </w:pPr>
      <w:r>
        <w:rPr>
          <w:rFonts w:hint="eastAsia" w:ascii="黑体" w:hAnsi="黑体" w:eastAsia="黑体"/>
          <w:b/>
          <w:sz w:val="36"/>
          <w:szCs w:val="36"/>
        </w:rPr>
        <w:t>江门市技师学院</w:t>
      </w:r>
    </w:p>
    <w:p>
      <w:pPr>
        <w:jc w:val="center"/>
        <w:rPr>
          <w:rFonts w:hint="eastAsia" w:ascii="黑体" w:hAnsi="黑体" w:eastAsia="黑体"/>
          <w:b/>
          <w:sz w:val="36"/>
          <w:szCs w:val="36"/>
          <w:lang w:eastAsia="zh-CN"/>
        </w:rPr>
      </w:pPr>
      <w:r>
        <w:rPr>
          <w:rFonts w:hint="eastAsia" w:ascii="黑体" w:hAnsi="黑体" w:eastAsia="黑体"/>
          <w:b/>
          <w:sz w:val="36"/>
          <w:szCs w:val="36"/>
        </w:rPr>
        <w:t>机电一体化竞赛设备采购项目评分</w:t>
      </w:r>
      <w:r>
        <w:rPr>
          <w:rFonts w:hint="eastAsia" w:ascii="黑体" w:hAnsi="黑体" w:eastAsia="黑体"/>
          <w:b/>
          <w:sz w:val="36"/>
          <w:szCs w:val="36"/>
          <w:lang w:val="en-US" w:eastAsia="zh-CN"/>
        </w:rPr>
        <w:t>标准</w:t>
      </w:r>
    </w:p>
    <w:p>
      <w:pPr>
        <w:pStyle w:val="15"/>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textAlignment w:val="auto"/>
        <w:rPr>
          <w:rFonts w:ascii="宋体" w:hAnsi="宋体" w:cs="宋体"/>
          <w:b/>
          <w:bCs/>
          <w:sz w:val="24"/>
          <w:szCs w:val="24"/>
        </w:rPr>
      </w:pPr>
      <w:r>
        <w:rPr>
          <w:rFonts w:hint="eastAsia" w:ascii="宋体" w:hAnsi="宋体" w:cs="宋体"/>
          <w:b/>
          <w:bCs/>
          <w:sz w:val="24"/>
          <w:szCs w:val="24"/>
        </w:rPr>
        <w:t>一、评审方法</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本次磋商采用综合评分法，是指响应文件满足采购文件全部实质性要求且按评审因素的量化指标评审得分最高的供应商为成交候选供应商的评审方法。</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每一供应商的最终得分为所有评委给其评分的算术平均值。各项评分均保留两位小数。</w:t>
      </w:r>
    </w:p>
    <w:p>
      <w:pPr>
        <w:pStyle w:val="15"/>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textAlignment w:val="auto"/>
        <w:rPr>
          <w:rFonts w:ascii="宋体" w:hAnsi="宋体" w:cs="宋体"/>
          <w:b/>
          <w:bCs/>
          <w:sz w:val="24"/>
          <w:szCs w:val="24"/>
        </w:rPr>
      </w:pPr>
      <w:r>
        <w:rPr>
          <w:rFonts w:hint="eastAsia" w:ascii="宋体" w:hAnsi="宋体" w:cs="宋体"/>
          <w:b/>
          <w:bCs/>
          <w:sz w:val="24"/>
          <w:szCs w:val="24"/>
        </w:rPr>
        <w:t>二、评分因素</w:t>
      </w:r>
    </w:p>
    <w:p>
      <w:pPr>
        <w:pStyle w:val="6"/>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left"/>
        <w:textAlignment w:val="auto"/>
        <w:rPr>
          <w:rFonts w:hint="eastAsia" w:hAnsi="宋体" w:cs="宋体"/>
          <w:sz w:val="24"/>
          <w:szCs w:val="24"/>
        </w:rPr>
      </w:pPr>
      <w:r>
        <w:rPr>
          <w:rFonts w:hint="eastAsia" w:hAnsi="宋体" w:cs="宋体"/>
          <w:sz w:val="24"/>
          <w:szCs w:val="24"/>
        </w:rPr>
        <w:t>权重分配为：技术部分权重为</w:t>
      </w:r>
      <w:r>
        <w:rPr>
          <w:rFonts w:hint="eastAsia" w:hAnsi="宋体" w:cs="宋体"/>
          <w:sz w:val="24"/>
          <w:szCs w:val="24"/>
          <w:highlight w:val="none"/>
          <w:lang w:val="en-US" w:eastAsia="zh-CN"/>
        </w:rPr>
        <w:t>50</w:t>
      </w:r>
      <w:r>
        <w:rPr>
          <w:rFonts w:hint="eastAsia" w:hAnsi="宋体" w:cs="宋体"/>
          <w:sz w:val="24"/>
          <w:szCs w:val="24"/>
          <w:highlight w:val="none"/>
        </w:rPr>
        <w:t>%，商务部分权重为</w:t>
      </w:r>
      <w:r>
        <w:rPr>
          <w:rFonts w:hint="eastAsia" w:hAnsi="宋体" w:cs="宋体"/>
          <w:sz w:val="24"/>
          <w:szCs w:val="24"/>
          <w:highlight w:val="none"/>
          <w:lang w:val="en-US" w:eastAsia="zh-CN"/>
        </w:rPr>
        <w:t>20</w:t>
      </w:r>
      <w:r>
        <w:rPr>
          <w:rFonts w:hint="eastAsia" w:hAnsi="宋体" w:cs="宋体"/>
          <w:sz w:val="24"/>
          <w:szCs w:val="24"/>
          <w:highlight w:val="none"/>
        </w:rPr>
        <w:t>%</w:t>
      </w:r>
      <w:r>
        <w:rPr>
          <w:rFonts w:hint="eastAsia" w:hAnsi="宋体" w:cs="宋体"/>
          <w:sz w:val="24"/>
          <w:szCs w:val="24"/>
          <w:lang w:eastAsia="zh-CN"/>
        </w:rPr>
        <w:t>，</w:t>
      </w:r>
      <w:r>
        <w:rPr>
          <w:rFonts w:hint="eastAsia" w:hAnsi="宋体" w:cs="宋体"/>
          <w:sz w:val="24"/>
          <w:szCs w:val="24"/>
        </w:rPr>
        <w:t>价格部分权重30%。</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151"/>
        <w:gridCol w:w="5"/>
        <w:gridCol w:w="1945"/>
        <w:gridCol w:w="784"/>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spacing w:line="240" w:lineRule="auto"/>
              <w:jc w:val="center"/>
              <w:rPr>
                <w:rFonts w:hint="eastAsia" w:ascii="宋体" w:hAnsi="宋体" w:eastAsiaTheme="minorEastAsia" w:cstheme="minorBidi"/>
                <w:b/>
                <w:bCs/>
                <w:kern w:val="2"/>
                <w:sz w:val="21"/>
                <w:szCs w:val="21"/>
                <w:lang w:val="en-US" w:eastAsia="zh-CN" w:bidi="ar-SA"/>
              </w:rPr>
            </w:pPr>
            <w:r>
              <w:rPr>
                <w:rFonts w:hint="eastAsia" w:ascii="宋体" w:hAnsi="宋体"/>
                <w:b/>
                <w:bCs/>
                <w:sz w:val="21"/>
                <w:szCs w:val="21"/>
              </w:rPr>
              <w:t>序号</w:t>
            </w:r>
          </w:p>
        </w:tc>
        <w:tc>
          <w:tcPr>
            <w:tcW w:w="1156" w:type="dxa"/>
            <w:gridSpan w:val="2"/>
            <w:vAlign w:val="center"/>
          </w:tcPr>
          <w:p>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rPr>
              <w:t>类 别</w:t>
            </w:r>
          </w:p>
        </w:tc>
        <w:tc>
          <w:tcPr>
            <w:tcW w:w="1945" w:type="dxa"/>
            <w:vAlign w:val="center"/>
          </w:tcPr>
          <w:p>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rPr>
              <w:t>项 目</w:t>
            </w:r>
          </w:p>
        </w:tc>
        <w:tc>
          <w:tcPr>
            <w:tcW w:w="784" w:type="dxa"/>
            <w:vAlign w:val="center"/>
          </w:tcPr>
          <w:p>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rPr>
              <w:t>配分</w:t>
            </w:r>
          </w:p>
        </w:tc>
        <w:tc>
          <w:tcPr>
            <w:tcW w:w="5495" w:type="dxa"/>
            <w:vAlign w:val="center"/>
          </w:tcPr>
          <w:p>
            <w:pPr>
              <w:jc w:val="center"/>
              <w:rPr>
                <w:rFonts w:hint="eastAsia" w:ascii="宋体" w:hAnsi="宋体" w:eastAsiaTheme="minorEastAsia" w:cstheme="minorBidi"/>
                <w:b/>
                <w:bCs/>
                <w:kern w:val="2"/>
                <w:sz w:val="21"/>
                <w:szCs w:val="21"/>
                <w:lang w:val="en-US" w:eastAsia="zh-CN" w:bidi="ar-SA"/>
              </w:rPr>
            </w:pPr>
            <w:r>
              <w:rPr>
                <w:rFonts w:hint="eastAsia"/>
                <w:b/>
                <w:bCs/>
              </w:rPr>
              <w:t>评标指标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spacing w:line="240" w:lineRule="auto"/>
              <w:jc w:val="center"/>
              <w:rPr>
                <w:rFonts w:hint="eastAsia" w:hAnsi="宋体" w:cs="宋体" w:eastAsiaTheme="minorEastAsia"/>
                <w:sz w:val="21"/>
                <w:szCs w:val="21"/>
                <w:vertAlign w:val="baseline"/>
                <w:lang w:val="en-US" w:eastAsia="zh-CN"/>
              </w:rPr>
            </w:pPr>
            <w:r>
              <w:rPr>
                <w:rFonts w:hint="eastAsia" w:hAnsi="宋体" w:cs="宋体"/>
                <w:sz w:val="21"/>
                <w:szCs w:val="21"/>
                <w:vertAlign w:val="baseline"/>
                <w:lang w:val="en-US" w:eastAsia="zh-CN"/>
              </w:rPr>
              <w:t>1</w:t>
            </w:r>
          </w:p>
        </w:tc>
        <w:tc>
          <w:tcPr>
            <w:tcW w:w="1151" w:type="dxa"/>
            <w:vMerge w:val="restart"/>
            <w:vAlign w:val="center"/>
          </w:tcPr>
          <w:p>
            <w:pPr>
              <w:pStyle w:val="6"/>
              <w:spacing w:line="240" w:lineRule="auto"/>
              <w:jc w:val="center"/>
              <w:rPr>
                <w:rFonts w:hint="default" w:hAnsi="宋体" w:cs="宋体" w:eastAsiaTheme="minorEastAsia"/>
                <w:sz w:val="21"/>
                <w:szCs w:val="21"/>
                <w:vertAlign w:val="baseline"/>
                <w:lang w:val="en-US" w:eastAsia="zh-CN"/>
              </w:rPr>
            </w:pPr>
            <w:r>
              <w:rPr>
                <w:rFonts w:hint="eastAsia" w:hAnsi="宋体" w:cs="宋体"/>
                <w:sz w:val="21"/>
                <w:szCs w:val="21"/>
                <w:vertAlign w:val="baseline"/>
                <w:lang w:val="en-US" w:eastAsia="zh-CN"/>
              </w:rPr>
              <w:t>技术部分</w:t>
            </w:r>
          </w:p>
        </w:tc>
        <w:tc>
          <w:tcPr>
            <w:tcW w:w="1950" w:type="dxa"/>
            <w:gridSpan w:val="2"/>
            <w:vAlign w:val="center"/>
          </w:tcPr>
          <w:p>
            <w:pPr>
              <w:jc w:val="center"/>
            </w:pPr>
            <w:r>
              <w:rPr>
                <w:rFonts w:hint="eastAsia"/>
              </w:rPr>
              <w:t>技术参数响应情况</w:t>
            </w:r>
          </w:p>
          <w:p>
            <w:pPr>
              <w:pStyle w:val="6"/>
              <w:spacing w:line="240" w:lineRule="auto"/>
              <w:jc w:val="center"/>
              <w:rPr>
                <w:rFonts w:hint="eastAsia" w:hAnsi="宋体" w:cs="宋体"/>
                <w:sz w:val="21"/>
                <w:szCs w:val="21"/>
                <w:vertAlign w:val="baseline"/>
              </w:rPr>
            </w:pPr>
            <w:r>
              <w:rPr>
                <w:rFonts w:hint="eastAsia"/>
              </w:rPr>
              <w:t>（</w:t>
            </w:r>
            <w:r>
              <w:rPr>
                <w:rFonts w:hint="eastAsia"/>
                <w:bCs/>
              </w:rPr>
              <w:t>参照偏离表</w:t>
            </w:r>
            <w:r>
              <w:rPr>
                <w:rFonts w:hint="eastAsia"/>
              </w:rPr>
              <w:t>）</w:t>
            </w:r>
          </w:p>
        </w:tc>
        <w:tc>
          <w:tcPr>
            <w:tcW w:w="784" w:type="dxa"/>
            <w:vAlign w:val="center"/>
          </w:tcPr>
          <w:p>
            <w:pPr>
              <w:pStyle w:val="6"/>
              <w:spacing w:line="240" w:lineRule="auto"/>
              <w:jc w:val="center"/>
              <w:rPr>
                <w:rFonts w:hint="default" w:hAnsi="宋体" w:cs="宋体" w:eastAsiaTheme="minorEastAsia"/>
                <w:sz w:val="21"/>
                <w:szCs w:val="21"/>
                <w:vertAlign w:val="baseline"/>
                <w:lang w:val="en-US" w:eastAsia="zh-CN"/>
              </w:rPr>
            </w:pPr>
            <w:r>
              <w:rPr>
                <w:rFonts w:hint="eastAsia" w:hAnsi="宋体" w:cs="宋体"/>
                <w:sz w:val="21"/>
                <w:szCs w:val="21"/>
                <w:vertAlign w:val="baseline"/>
                <w:lang w:val="en-US" w:eastAsia="zh-CN"/>
              </w:rPr>
              <w:t>34</w:t>
            </w:r>
          </w:p>
        </w:tc>
        <w:tc>
          <w:tcPr>
            <w:tcW w:w="5495" w:type="dxa"/>
            <w:vAlign w:val="center"/>
          </w:tcPr>
          <w:p>
            <w:pPr>
              <w:pStyle w:val="6"/>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投标人必须根据招标要求，提供相应证明文件。全部响应招标技术参数要求得满分，为</w:t>
            </w:r>
            <w:r>
              <w:rPr>
                <w:rFonts w:hint="eastAsia" w:hAnsi="宋体" w:eastAsia="宋体" w:cs="宋体"/>
                <w:b w:val="0"/>
                <w:bCs w:val="0"/>
                <w:sz w:val="21"/>
                <w:szCs w:val="21"/>
                <w:lang w:val="en-US" w:eastAsia="zh-CN"/>
              </w:rPr>
              <w:t>34</w:t>
            </w:r>
            <w:r>
              <w:rPr>
                <w:rFonts w:hint="eastAsia" w:ascii="宋体" w:hAnsi="宋体" w:eastAsia="宋体" w:cs="宋体"/>
                <w:b w:val="0"/>
                <w:bCs w:val="0"/>
                <w:sz w:val="21"/>
                <w:szCs w:val="21"/>
              </w:rPr>
              <w:t>分；其中带▲号是重要技术指标，</w:t>
            </w:r>
            <w:r>
              <w:rPr>
                <w:rFonts w:hint="eastAsia" w:ascii="宋体" w:hAnsi="宋体" w:eastAsia="宋体" w:cs="宋体"/>
                <w:b w:val="0"/>
                <w:sz w:val="21"/>
                <w:szCs w:val="21"/>
              </w:rPr>
              <w:t>负偏离或未响应一项</w:t>
            </w:r>
            <w:r>
              <w:rPr>
                <w:rFonts w:hint="eastAsia" w:ascii="宋体" w:hAnsi="宋体" w:eastAsia="宋体" w:cs="宋体"/>
                <w:b w:val="0"/>
                <w:bCs w:val="0"/>
                <w:sz w:val="21"/>
                <w:szCs w:val="21"/>
              </w:rPr>
              <w:t>，扣</w:t>
            </w:r>
            <w:r>
              <w:rPr>
                <w:rFonts w:hint="eastAsia" w:hAnsi="宋体" w:eastAsia="宋体" w:cs="宋体"/>
                <w:b w:val="0"/>
                <w:bCs w:val="0"/>
                <w:sz w:val="21"/>
                <w:szCs w:val="21"/>
                <w:lang w:val="en-US" w:eastAsia="zh-CN"/>
              </w:rPr>
              <w:t>4</w:t>
            </w:r>
            <w:r>
              <w:rPr>
                <w:rFonts w:hint="eastAsia" w:ascii="宋体" w:hAnsi="宋体" w:eastAsia="宋体" w:cs="宋体"/>
                <w:b w:val="0"/>
                <w:bCs w:val="0"/>
                <w:sz w:val="21"/>
                <w:szCs w:val="21"/>
              </w:rPr>
              <w:t>分，扣完为止；</w:t>
            </w:r>
          </w:p>
          <w:p>
            <w:pPr>
              <w:pStyle w:val="6"/>
              <w:spacing w:line="240" w:lineRule="auto"/>
              <w:jc w:val="left"/>
              <w:rPr>
                <w:rFonts w:hint="eastAsia" w:hAnsi="宋体" w:cs="宋体"/>
                <w:sz w:val="21"/>
                <w:szCs w:val="21"/>
                <w:vertAlign w:val="baseline"/>
              </w:rPr>
            </w:pPr>
            <w:r>
              <w:rPr>
                <w:rFonts w:hint="eastAsia" w:ascii="宋体" w:hAnsi="宋体" w:eastAsia="宋体" w:cs="宋体"/>
                <w:b w:val="0"/>
                <w:bCs w:val="0"/>
                <w:sz w:val="21"/>
                <w:szCs w:val="21"/>
                <w:lang w:val="en-US" w:eastAsia="zh-CN"/>
              </w:rPr>
              <w:t>需求对提供的证明材料有具体要求的，按需求要求提供。其他条目投标人应提供相关证明材料，不提供证明材料视为负偏离。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spacing w:line="240" w:lineRule="auto"/>
              <w:jc w:val="center"/>
              <w:rPr>
                <w:rFonts w:hint="default" w:hAnsi="宋体" w:cs="宋体"/>
                <w:sz w:val="21"/>
                <w:szCs w:val="21"/>
                <w:vertAlign w:val="baseline"/>
                <w:lang w:val="en-US" w:eastAsia="zh-CN"/>
              </w:rPr>
            </w:pPr>
            <w:r>
              <w:rPr>
                <w:rFonts w:hint="eastAsia" w:hAnsi="宋体" w:cs="宋体"/>
                <w:sz w:val="21"/>
                <w:szCs w:val="21"/>
                <w:vertAlign w:val="baseline"/>
                <w:lang w:val="en-US" w:eastAsia="zh-CN"/>
              </w:rPr>
              <w:t>2</w:t>
            </w:r>
          </w:p>
        </w:tc>
        <w:tc>
          <w:tcPr>
            <w:tcW w:w="1151" w:type="dxa"/>
            <w:vMerge w:val="continue"/>
            <w:vAlign w:val="center"/>
          </w:tcPr>
          <w:p>
            <w:pPr>
              <w:pStyle w:val="6"/>
              <w:spacing w:line="240" w:lineRule="auto"/>
              <w:jc w:val="center"/>
              <w:rPr>
                <w:rFonts w:hint="eastAsia" w:hAnsi="宋体" w:cs="宋体"/>
                <w:sz w:val="21"/>
                <w:szCs w:val="21"/>
                <w:vertAlign w:val="baseline"/>
                <w:lang w:val="en-US" w:eastAsia="zh-CN"/>
              </w:rPr>
            </w:pPr>
          </w:p>
        </w:tc>
        <w:tc>
          <w:tcPr>
            <w:tcW w:w="1950" w:type="dxa"/>
            <w:gridSpan w:val="2"/>
            <w:vAlign w:val="center"/>
          </w:tcPr>
          <w:p>
            <w:pPr>
              <w:pStyle w:val="9"/>
              <w:ind w:left="0" w:leftChars="0" w:firstLine="0" w:firstLineChars="0"/>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设备</w:t>
            </w:r>
            <w:r>
              <w:rPr>
                <w:rFonts w:hint="eastAsia" w:ascii="宋体" w:hAnsi="宋体" w:eastAsia="宋体" w:cs="宋体"/>
                <w:b w:val="0"/>
                <w:bCs w:val="0"/>
                <w:kern w:val="2"/>
                <w:sz w:val="21"/>
                <w:szCs w:val="21"/>
                <w:lang w:val="en-US" w:eastAsia="zh-CN" w:bidi="ar-SA"/>
              </w:rPr>
              <w:t>通用</w:t>
            </w:r>
            <w:r>
              <w:rPr>
                <w:rFonts w:hint="default" w:ascii="宋体" w:hAnsi="宋体" w:eastAsia="宋体" w:cs="宋体"/>
                <w:b w:val="0"/>
                <w:bCs w:val="0"/>
                <w:kern w:val="2"/>
                <w:sz w:val="21"/>
                <w:szCs w:val="21"/>
                <w:lang w:val="en-US" w:eastAsia="zh-CN" w:bidi="ar-SA"/>
              </w:rPr>
              <w:t>要求</w:t>
            </w:r>
          </w:p>
        </w:tc>
        <w:tc>
          <w:tcPr>
            <w:tcW w:w="784" w:type="dxa"/>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p>
        </w:tc>
        <w:tc>
          <w:tcPr>
            <w:tcW w:w="5495" w:type="dxa"/>
            <w:vAlign w:val="center"/>
          </w:tcPr>
          <w:p>
            <w:pPr>
              <w:pStyle w:val="9"/>
              <w:ind w:left="0" w:leftChars="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要求</w:t>
            </w:r>
            <w:r>
              <w:rPr>
                <w:rFonts w:hint="default" w:ascii="宋体" w:hAnsi="宋体" w:eastAsia="宋体" w:cs="宋体"/>
                <w:b w:val="0"/>
                <w:bCs w:val="0"/>
                <w:kern w:val="2"/>
                <w:sz w:val="21"/>
                <w:szCs w:val="21"/>
                <w:lang w:val="en-US" w:eastAsia="zh-CN" w:bidi="ar-SA"/>
              </w:rPr>
              <w:t>设备制造商同时具备支持世界技能大赛全国选拔赛和省级技能大赛机电一体化赛事的能力，提供设备制造商支持中华人民共和国职业技能大赛机电一体化项目的证明文件，同时提供省赛赞助支持证明文件</w:t>
            </w:r>
            <w:r>
              <w:rPr>
                <w:rFonts w:hint="eastAsia" w:ascii="宋体" w:hAnsi="宋体" w:eastAsia="宋体" w:cs="宋体"/>
                <w:b w:val="0"/>
                <w:bCs w:val="0"/>
                <w:kern w:val="2"/>
                <w:sz w:val="21"/>
                <w:szCs w:val="21"/>
                <w:lang w:val="en-US" w:eastAsia="zh-CN" w:bidi="ar-SA"/>
              </w:rPr>
              <w:t>，全部提供得6分，不提供不得分。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spacing w:line="240" w:lineRule="auto"/>
              <w:jc w:val="center"/>
              <w:rPr>
                <w:rFonts w:hint="default" w:hAnsi="宋体" w:cs="宋体"/>
                <w:sz w:val="21"/>
                <w:szCs w:val="21"/>
                <w:vertAlign w:val="baseline"/>
                <w:lang w:val="en-US" w:eastAsia="zh-CN"/>
              </w:rPr>
            </w:pPr>
            <w:r>
              <w:rPr>
                <w:rFonts w:hint="eastAsia" w:hAnsi="宋体" w:cs="宋体"/>
                <w:sz w:val="21"/>
                <w:szCs w:val="21"/>
                <w:vertAlign w:val="baseline"/>
                <w:lang w:val="en-US" w:eastAsia="zh-CN"/>
              </w:rPr>
              <w:t>3</w:t>
            </w:r>
          </w:p>
        </w:tc>
        <w:tc>
          <w:tcPr>
            <w:tcW w:w="1151" w:type="dxa"/>
            <w:vMerge w:val="continue"/>
            <w:vAlign w:val="center"/>
          </w:tcPr>
          <w:p>
            <w:pPr>
              <w:pStyle w:val="6"/>
              <w:spacing w:line="240" w:lineRule="auto"/>
              <w:jc w:val="center"/>
              <w:rPr>
                <w:rFonts w:hint="eastAsia" w:hAnsi="宋体" w:cs="宋体"/>
                <w:sz w:val="21"/>
                <w:szCs w:val="21"/>
                <w:vertAlign w:val="baseline"/>
                <w:lang w:val="en-US" w:eastAsia="zh-CN"/>
              </w:rPr>
            </w:pPr>
          </w:p>
        </w:tc>
        <w:tc>
          <w:tcPr>
            <w:tcW w:w="1950" w:type="dxa"/>
            <w:gridSpan w:val="2"/>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项目实施要求</w:t>
            </w:r>
          </w:p>
        </w:tc>
        <w:tc>
          <w:tcPr>
            <w:tcW w:w="784" w:type="dxa"/>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p>
        </w:tc>
        <w:tc>
          <w:tcPr>
            <w:tcW w:w="5495" w:type="dxa"/>
            <w:vAlign w:val="center"/>
          </w:tcPr>
          <w:p>
            <w:pPr>
              <w:keepNext w:val="0"/>
              <w:keepLines w:val="0"/>
              <w:pageBreakBefore w:val="0"/>
              <w:widowControl/>
              <w:kinsoku/>
              <w:wordWrap/>
              <w:overflowPunct/>
              <w:topLinePunct w:val="0"/>
              <w:bidi w:val="0"/>
              <w:snapToGrid w:val="0"/>
              <w:spacing w:line="30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投标人提供的实施方案：</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1.方案具体详细，完全适用且优于本项目需求，得5分；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2.方案基本完整，完全适用本项目需求，得3分；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3.方案不完整，不完全满足项目需求，得1分；</w:t>
            </w:r>
          </w:p>
          <w:p>
            <w:pPr>
              <w:pStyle w:val="4"/>
              <w:keepNext w:val="0"/>
              <w:keepLines w:val="0"/>
              <w:pageBreakBefore w:val="0"/>
              <w:kinsoku/>
              <w:wordWrap/>
              <w:overflowPunct/>
              <w:topLinePunct w:val="0"/>
              <w:bidi w:val="0"/>
              <w:spacing w:line="30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spacing w:line="240" w:lineRule="auto"/>
              <w:jc w:val="center"/>
              <w:rPr>
                <w:rFonts w:hint="default" w:hAnsi="宋体" w:cs="宋体"/>
                <w:sz w:val="21"/>
                <w:szCs w:val="21"/>
                <w:vertAlign w:val="baseline"/>
                <w:lang w:val="en-US" w:eastAsia="zh-CN"/>
              </w:rPr>
            </w:pPr>
            <w:r>
              <w:rPr>
                <w:rFonts w:hint="eastAsia" w:hAnsi="宋体" w:cs="宋体"/>
                <w:sz w:val="21"/>
                <w:szCs w:val="21"/>
                <w:vertAlign w:val="baseline"/>
                <w:lang w:val="en-US" w:eastAsia="zh-CN"/>
              </w:rPr>
              <w:t>4</w:t>
            </w:r>
          </w:p>
        </w:tc>
        <w:tc>
          <w:tcPr>
            <w:tcW w:w="1151" w:type="dxa"/>
            <w:vMerge w:val="continue"/>
            <w:vAlign w:val="center"/>
          </w:tcPr>
          <w:p>
            <w:pPr>
              <w:pStyle w:val="6"/>
              <w:spacing w:line="240" w:lineRule="auto"/>
              <w:jc w:val="center"/>
              <w:rPr>
                <w:rFonts w:hint="eastAsia" w:hAnsi="宋体" w:cs="宋体"/>
                <w:sz w:val="21"/>
                <w:szCs w:val="21"/>
                <w:vertAlign w:val="baseline"/>
                <w:lang w:val="en-US" w:eastAsia="zh-CN"/>
              </w:rPr>
            </w:pPr>
          </w:p>
        </w:tc>
        <w:tc>
          <w:tcPr>
            <w:tcW w:w="1950" w:type="dxa"/>
            <w:gridSpan w:val="2"/>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技术培训方案</w:t>
            </w:r>
          </w:p>
        </w:tc>
        <w:tc>
          <w:tcPr>
            <w:tcW w:w="784" w:type="dxa"/>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p>
        </w:tc>
        <w:tc>
          <w:tcPr>
            <w:tcW w:w="5495" w:type="dxa"/>
            <w:vAlign w:val="center"/>
          </w:tcPr>
          <w:p>
            <w:pPr>
              <w:keepNext w:val="0"/>
              <w:keepLines w:val="0"/>
              <w:pageBreakBefore w:val="0"/>
              <w:widowControl/>
              <w:kinsoku/>
              <w:wordWrap/>
              <w:overflowPunct/>
              <w:topLinePunct w:val="0"/>
              <w:bidi w:val="0"/>
              <w:snapToGrid w:val="0"/>
              <w:spacing w:line="30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投标人提供技术培训方案：</w:t>
            </w:r>
          </w:p>
          <w:p>
            <w:pPr>
              <w:pStyle w:val="19"/>
              <w:keepNext w:val="0"/>
              <w:keepLines w:val="0"/>
              <w:pageBreakBefore w:val="0"/>
              <w:widowControl/>
              <w:kinsoku/>
              <w:wordWrap/>
              <w:overflowPunct/>
              <w:topLinePunct w:val="0"/>
              <w:bidi w:val="0"/>
              <w:snapToGrid w:val="0"/>
              <w:spacing w:line="30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1.方案具体详细，完全适用且优于本项目需求，得5分；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2.方案基本完整，完全适用本项目需求，得3分；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3.方案不完整，不完全满足项目需求，得1分；</w:t>
            </w:r>
          </w:p>
          <w:p>
            <w:pPr>
              <w:pStyle w:val="4"/>
              <w:keepNext w:val="0"/>
              <w:keepLines w:val="0"/>
              <w:pageBreakBefore w:val="0"/>
              <w:kinsoku/>
              <w:wordWrap/>
              <w:overflowPunct/>
              <w:topLinePunct w:val="0"/>
              <w:bidi w:val="0"/>
              <w:spacing w:line="30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2" w:type="dxa"/>
            <w:vAlign w:val="center"/>
          </w:tcPr>
          <w:p>
            <w:pPr>
              <w:pStyle w:val="6"/>
              <w:spacing w:line="240" w:lineRule="auto"/>
              <w:jc w:val="center"/>
              <w:rPr>
                <w:rFonts w:hint="default" w:hAnsi="宋体" w:cs="宋体" w:eastAsiaTheme="minorEastAsia"/>
                <w:sz w:val="21"/>
                <w:szCs w:val="21"/>
                <w:vertAlign w:val="baseline"/>
                <w:lang w:val="en-US" w:eastAsia="zh-CN"/>
              </w:rPr>
            </w:pPr>
            <w:r>
              <w:rPr>
                <w:rFonts w:hint="eastAsia" w:hAnsi="宋体" w:cs="宋体"/>
                <w:sz w:val="21"/>
                <w:szCs w:val="21"/>
                <w:vertAlign w:val="baseline"/>
                <w:lang w:val="en-US" w:eastAsia="zh-CN"/>
              </w:rPr>
              <w:t>5</w:t>
            </w:r>
          </w:p>
        </w:tc>
        <w:tc>
          <w:tcPr>
            <w:tcW w:w="1151" w:type="dxa"/>
            <w:vMerge w:val="restart"/>
            <w:vAlign w:val="center"/>
          </w:tcPr>
          <w:p>
            <w:pPr>
              <w:pStyle w:val="6"/>
              <w:spacing w:line="240" w:lineRule="auto"/>
              <w:jc w:val="center"/>
              <w:rPr>
                <w:rFonts w:hint="eastAsia" w:hAnsi="宋体" w:cs="宋体" w:eastAsiaTheme="minorEastAsia"/>
                <w:sz w:val="21"/>
                <w:szCs w:val="21"/>
                <w:vertAlign w:val="baseline"/>
                <w:lang w:val="en-US" w:eastAsia="zh-CN"/>
              </w:rPr>
            </w:pPr>
            <w:r>
              <w:rPr>
                <w:rFonts w:hint="eastAsia" w:hAnsi="宋体" w:cs="宋体"/>
                <w:sz w:val="21"/>
                <w:szCs w:val="21"/>
                <w:vertAlign w:val="baseline"/>
                <w:lang w:val="en-US" w:eastAsia="zh-CN"/>
              </w:rPr>
              <w:t>商务部分</w:t>
            </w:r>
          </w:p>
        </w:tc>
        <w:tc>
          <w:tcPr>
            <w:tcW w:w="1950" w:type="dxa"/>
            <w:gridSpan w:val="2"/>
            <w:vAlign w:val="center"/>
          </w:tcPr>
          <w:p>
            <w:pPr>
              <w:keepNext w:val="0"/>
              <w:keepLines w:val="0"/>
              <w:pageBreakBefore w:val="0"/>
              <w:kinsoku/>
              <w:wordWrap/>
              <w:overflowPunct/>
              <w:topLinePunct w:val="0"/>
              <w:bidi w:val="0"/>
              <w:adjustRightInd w:val="0"/>
              <w:spacing w:line="300" w:lineRule="auto"/>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验收方案</w:t>
            </w:r>
          </w:p>
        </w:tc>
        <w:tc>
          <w:tcPr>
            <w:tcW w:w="784" w:type="dxa"/>
            <w:vAlign w:val="center"/>
          </w:tcPr>
          <w:p>
            <w:pPr>
              <w:keepNext w:val="0"/>
              <w:keepLines w:val="0"/>
              <w:pageBreakBefore w:val="0"/>
              <w:kinsoku/>
              <w:wordWrap/>
              <w:overflowPunct/>
              <w:topLinePunct w:val="0"/>
              <w:bidi w:val="0"/>
              <w:adjustRightInd w:val="0"/>
              <w:spacing w:line="300" w:lineRule="auto"/>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p>
        </w:tc>
        <w:tc>
          <w:tcPr>
            <w:tcW w:w="5495" w:type="dxa"/>
            <w:vAlign w:val="center"/>
          </w:tcPr>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投标人提供的验收方案：</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1.验收方案完整详细，完全满足且优于采购文件要求，得4分；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2.验收方案完整，完全满足采购文件要求，得2分；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3.验收方案不完整，不完全满足采购文件要求的，得1分；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2" w:type="dxa"/>
            <w:vAlign w:val="center"/>
          </w:tcPr>
          <w:p>
            <w:pPr>
              <w:pStyle w:val="6"/>
              <w:spacing w:line="240" w:lineRule="auto"/>
              <w:jc w:val="center"/>
              <w:rPr>
                <w:rFonts w:hint="eastAsia" w:hAnsi="宋体" w:cs="宋体" w:eastAsiaTheme="minorEastAsia"/>
                <w:sz w:val="21"/>
                <w:szCs w:val="21"/>
                <w:vertAlign w:val="baseline"/>
                <w:lang w:val="en-US" w:eastAsia="zh-CN"/>
              </w:rPr>
            </w:pPr>
            <w:r>
              <w:rPr>
                <w:rFonts w:hint="eastAsia" w:hAnsi="宋体" w:cs="宋体"/>
                <w:sz w:val="21"/>
                <w:szCs w:val="21"/>
                <w:vertAlign w:val="baseline"/>
                <w:lang w:val="en-US" w:eastAsia="zh-CN"/>
              </w:rPr>
              <w:t>6</w:t>
            </w:r>
          </w:p>
        </w:tc>
        <w:tc>
          <w:tcPr>
            <w:tcW w:w="1151" w:type="dxa"/>
            <w:vMerge w:val="continue"/>
            <w:vAlign w:val="center"/>
          </w:tcPr>
          <w:p>
            <w:pPr>
              <w:pStyle w:val="6"/>
              <w:spacing w:line="240" w:lineRule="auto"/>
              <w:jc w:val="center"/>
              <w:rPr>
                <w:rFonts w:hint="eastAsia" w:hAnsi="宋体" w:cs="宋体" w:eastAsiaTheme="minorEastAsia"/>
                <w:sz w:val="21"/>
                <w:szCs w:val="21"/>
                <w:vertAlign w:val="baseline"/>
                <w:lang w:val="en-US" w:eastAsia="zh-CN"/>
              </w:rPr>
            </w:pPr>
          </w:p>
        </w:tc>
        <w:tc>
          <w:tcPr>
            <w:tcW w:w="1950" w:type="dxa"/>
            <w:gridSpan w:val="2"/>
            <w:vAlign w:val="center"/>
          </w:tcPr>
          <w:p>
            <w:pPr>
              <w:keepNext w:val="0"/>
              <w:keepLines w:val="0"/>
              <w:pageBreakBefore w:val="0"/>
              <w:kinsoku/>
              <w:wordWrap/>
              <w:overflowPunct/>
              <w:topLinePunct w:val="0"/>
              <w:bidi w:val="0"/>
              <w:adjustRightInd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项目业绩</w:t>
            </w:r>
          </w:p>
        </w:tc>
        <w:tc>
          <w:tcPr>
            <w:tcW w:w="784" w:type="dxa"/>
            <w:vAlign w:val="center"/>
          </w:tcPr>
          <w:p>
            <w:pPr>
              <w:keepNext w:val="0"/>
              <w:keepLines w:val="0"/>
              <w:pageBreakBefore w:val="0"/>
              <w:kinsoku/>
              <w:wordWrap/>
              <w:overflowPunct/>
              <w:topLinePunct w:val="0"/>
              <w:bidi w:val="0"/>
              <w:adjustRightInd w:val="0"/>
              <w:spacing w:line="300" w:lineRule="auto"/>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bookmarkStart w:id="0" w:name="_GoBack"/>
            <w:bookmarkEnd w:id="0"/>
          </w:p>
        </w:tc>
        <w:tc>
          <w:tcPr>
            <w:tcW w:w="5495" w:type="dxa"/>
            <w:vAlign w:val="center"/>
          </w:tcPr>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投标人提供2020年以来项目业绩合同，每提供1份得2分，最多6分；投标时须提供合同复印件（以提供的合同复印件为准）。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2" w:type="dxa"/>
            <w:vAlign w:val="center"/>
          </w:tcPr>
          <w:p>
            <w:pPr>
              <w:pStyle w:val="6"/>
              <w:spacing w:line="240" w:lineRule="auto"/>
              <w:jc w:val="center"/>
              <w:rPr>
                <w:rFonts w:hint="default" w:hAnsi="宋体" w:cs="宋体"/>
                <w:sz w:val="21"/>
                <w:szCs w:val="21"/>
                <w:vertAlign w:val="baseline"/>
                <w:lang w:val="en-US" w:eastAsia="zh-CN"/>
              </w:rPr>
            </w:pPr>
            <w:r>
              <w:rPr>
                <w:rFonts w:hint="eastAsia" w:hAnsi="宋体" w:cs="宋体"/>
                <w:sz w:val="21"/>
                <w:szCs w:val="21"/>
                <w:vertAlign w:val="baseline"/>
                <w:lang w:val="en-US" w:eastAsia="zh-CN"/>
              </w:rPr>
              <w:t>7</w:t>
            </w:r>
          </w:p>
        </w:tc>
        <w:tc>
          <w:tcPr>
            <w:tcW w:w="1151" w:type="dxa"/>
            <w:vMerge w:val="continue"/>
            <w:vAlign w:val="center"/>
          </w:tcPr>
          <w:p>
            <w:pPr>
              <w:pStyle w:val="6"/>
              <w:spacing w:line="240" w:lineRule="auto"/>
              <w:jc w:val="center"/>
              <w:rPr>
                <w:rFonts w:hint="eastAsia" w:hAnsi="宋体" w:cs="宋体" w:eastAsiaTheme="minorEastAsia"/>
                <w:sz w:val="21"/>
                <w:szCs w:val="21"/>
                <w:vertAlign w:val="baseline"/>
                <w:lang w:val="en-US" w:eastAsia="zh-CN"/>
              </w:rPr>
            </w:pPr>
          </w:p>
        </w:tc>
        <w:tc>
          <w:tcPr>
            <w:tcW w:w="1950" w:type="dxa"/>
            <w:gridSpan w:val="2"/>
            <w:vAlign w:val="center"/>
          </w:tcPr>
          <w:p>
            <w:pPr>
              <w:keepNext w:val="0"/>
              <w:keepLines w:val="0"/>
              <w:pageBreakBefore w:val="0"/>
              <w:kinsoku/>
              <w:wordWrap/>
              <w:overflowPunct/>
              <w:topLinePunct w:val="0"/>
              <w:bidi w:val="0"/>
              <w:adjustRightInd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投标人企业信誉</w:t>
            </w:r>
          </w:p>
        </w:tc>
        <w:tc>
          <w:tcPr>
            <w:tcW w:w="784" w:type="dxa"/>
            <w:vAlign w:val="center"/>
          </w:tcPr>
          <w:p>
            <w:pPr>
              <w:keepNext w:val="0"/>
              <w:keepLines w:val="0"/>
              <w:pageBreakBefore w:val="0"/>
              <w:kinsoku/>
              <w:wordWrap/>
              <w:overflowPunct/>
              <w:topLinePunct w:val="0"/>
              <w:bidi w:val="0"/>
              <w:adjustRightInd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p>
        </w:tc>
        <w:tc>
          <w:tcPr>
            <w:tcW w:w="5495" w:type="dxa"/>
            <w:vAlign w:val="center"/>
          </w:tcPr>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投标人2021年度纳税信用等级，符合下列情况之一的得5分：评定为A级；新设立企业取得M级的；经营的年限未达3年导致未能评定为A级；根据相关规定不需要进行纳税信用等级评定的非企业组织。</w:t>
            </w:r>
            <w:r>
              <w:rPr>
                <w:rFonts w:hint="eastAsia" w:ascii="宋体" w:hAnsi="宋体" w:eastAsia="宋体" w:cs="宋体"/>
                <w:b w:val="0"/>
                <w:bCs w:val="0"/>
                <w:kern w:val="2"/>
                <w:sz w:val="21"/>
                <w:szCs w:val="21"/>
                <w:lang w:val="en-US" w:eastAsia="zh-CN" w:bidi="ar-SA"/>
              </w:rPr>
              <w:br w:type="textWrapping"/>
            </w:r>
            <w:r>
              <w:rPr>
                <w:rFonts w:hint="eastAsia" w:ascii="宋体" w:hAnsi="宋体" w:eastAsia="宋体" w:cs="宋体"/>
                <w:b w:val="0"/>
                <w:bCs w:val="0"/>
                <w:kern w:val="2"/>
                <w:sz w:val="21"/>
                <w:szCs w:val="21"/>
                <w:lang w:val="en-US" w:eastAsia="zh-CN" w:bidi="ar-SA"/>
              </w:rPr>
              <w:t>评定为B级的，得3分，非新设立企业取得M级的，不得分；C级、D级或未提供资料的不得分。</w:t>
            </w:r>
            <w:r>
              <w:rPr>
                <w:rFonts w:hint="eastAsia" w:ascii="宋体" w:hAnsi="宋体" w:eastAsia="宋体" w:cs="宋体"/>
                <w:b w:val="0"/>
                <w:bCs w:val="0"/>
                <w:kern w:val="2"/>
                <w:sz w:val="21"/>
                <w:szCs w:val="21"/>
                <w:lang w:val="en-US" w:eastAsia="zh-CN" w:bidi="ar-SA"/>
              </w:rPr>
              <w:br w:type="textWrapping"/>
            </w:r>
            <w:r>
              <w:rPr>
                <w:rFonts w:hint="eastAsia" w:ascii="宋体" w:hAnsi="宋体" w:eastAsia="宋体" w:cs="宋体"/>
                <w:b w:val="0"/>
                <w:bCs w:val="0"/>
                <w:kern w:val="2"/>
                <w:sz w:val="21"/>
                <w:szCs w:val="21"/>
                <w:lang w:val="en-US" w:eastAsia="zh-CN" w:bidi="ar-SA"/>
              </w:rPr>
              <w:t xml:space="preserve">需提供证书复印件或税务系统査询截图作为证明资料。 </w:t>
            </w:r>
            <w:r>
              <w:rPr>
                <w:rFonts w:hint="eastAsia" w:ascii="宋体" w:hAnsi="宋体" w:eastAsia="宋体" w:cs="宋体"/>
                <w:b w:val="0"/>
                <w:bCs w:val="0"/>
                <w:kern w:val="2"/>
                <w:sz w:val="21"/>
                <w:szCs w:val="21"/>
                <w:lang w:val="en-US" w:eastAsia="zh-CN" w:bidi="ar-SA"/>
              </w:rPr>
              <w:br w:type="textWrapping"/>
            </w:r>
            <w:r>
              <w:rPr>
                <w:rFonts w:hint="eastAsia" w:ascii="宋体" w:hAnsi="宋体" w:eastAsia="宋体" w:cs="宋体"/>
                <w:b w:val="0"/>
                <w:bCs w:val="0"/>
                <w:kern w:val="2"/>
                <w:sz w:val="21"/>
                <w:szCs w:val="21"/>
                <w:lang w:val="en-US" w:eastAsia="zh-CN" w:bidi="ar-SA"/>
              </w:rPr>
              <w:t>属于不需要进行纳税信用等级评定的非企业组织，提供相关政策规定及证明文件。</w:t>
            </w:r>
            <w:r>
              <w:rPr>
                <w:rFonts w:hint="eastAsia" w:ascii="宋体" w:hAnsi="宋体" w:eastAsia="宋体" w:cs="宋体"/>
                <w:b w:val="0"/>
                <w:bCs w:val="0"/>
                <w:kern w:val="2"/>
                <w:sz w:val="21"/>
                <w:szCs w:val="21"/>
                <w:lang w:val="en-US" w:eastAsia="zh-CN" w:bidi="ar-SA"/>
              </w:rPr>
              <w:br w:type="textWrapping"/>
            </w:r>
            <w:r>
              <w:rPr>
                <w:rFonts w:hint="eastAsia" w:ascii="宋体" w:hAnsi="宋体" w:eastAsia="宋体" w:cs="宋体"/>
                <w:b w:val="0"/>
                <w:bCs w:val="0"/>
                <w:kern w:val="2"/>
                <w:sz w:val="21"/>
                <w:szCs w:val="21"/>
                <w:lang w:val="en-US" w:eastAsia="zh-CN" w:bidi="ar-SA"/>
              </w:rPr>
              <w:t>注：“新设立企业”指从首次在税务机关办理涉税事宜之日起时间不满一个评价年度的企业。评价年度是指公历年度，即 1月 1 日至 12 月 31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2" w:type="dxa"/>
            <w:vAlign w:val="center"/>
          </w:tcPr>
          <w:p>
            <w:pPr>
              <w:pStyle w:val="6"/>
              <w:spacing w:line="240" w:lineRule="auto"/>
              <w:jc w:val="center"/>
              <w:rPr>
                <w:rFonts w:hint="default" w:hAnsi="宋体" w:cs="宋体"/>
                <w:sz w:val="21"/>
                <w:szCs w:val="21"/>
                <w:vertAlign w:val="baseline"/>
                <w:lang w:val="en-US" w:eastAsia="zh-CN"/>
              </w:rPr>
            </w:pPr>
            <w:r>
              <w:rPr>
                <w:rFonts w:hint="eastAsia" w:hAnsi="宋体" w:cs="宋体"/>
                <w:sz w:val="21"/>
                <w:szCs w:val="21"/>
                <w:vertAlign w:val="baseline"/>
                <w:lang w:val="en-US" w:eastAsia="zh-CN"/>
              </w:rPr>
              <w:t>8</w:t>
            </w:r>
          </w:p>
        </w:tc>
        <w:tc>
          <w:tcPr>
            <w:tcW w:w="1151" w:type="dxa"/>
            <w:vMerge w:val="continue"/>
            <w:vAlign w:val="center"/>
          </w:tcPr>
          <w:p>
            <w:pPr>
              <w:pStyle w:val="6"/>
              <w:spacing w:line="240" w:lineRule="auto"/>
              <w:jc w:val="center"/>
              <w:rPr>
                <w:rFonts w:hint="eastAsia" w:hAnsi="宋体" w:cs="宋体" w:eastAsiaTheme="minorEastAsia"/>
                <w:sz w:val="21"/>
                <w:szCs w:val="21"/>
                <w:vertAlign w:val="baseline"/>
                <w:lang w:val="en-US" w:eastAsia="zh-CN"/>
              </w:rPr>
            </w:pPr>
          </w:p>
        </w:tc>
        <w:tc>
          <w:tcPr>
            <w:tcW w:w="1950" w:type="dxa"/>
            <w:gridSpan w:val="2"/>
            <w:vAlign w:val="center"/>
          </w:tcPr>
          <w:p>
            <w:pPr>
              <w:keepNext w:val="0"/>
              <w:keepLines w:val="0"/>
              <w:pageBreakBefore w:val="0"/>
              <w:kinsoku/>
              <w:wordWrap/>
              <w:overflowPunct/>
              <w:topLinePunct w:val="0"/>
              <w:bidi w:val="0"/>
              <w:adjustRightInd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售后服务</w:t>
            </w:r>
          </w:p>
        </w:tc>
        <w:tc>
          <w:tcPr>
            <w:tcW w:w="784" w:type="dxa"/>
            <w:vAlign w:val="center"/>
          </w:tcPr>
          <w:p>
            <w:pPr>
              <w:keepNext w:val="0"/>
              <w:keepLines w:val="0"/>
              <w:pageBreakBefore w:val="0"/>
              <w:kinsoku/>
              <w:wordWrap/>
              <w:overflowPunct/>
              <w:topLinePunct w:val="0"/>
              <w:bidi w:val="0"/>
              <w:adjustRightInd w:val="0"/>
              <w:spacing w:line="30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w:t>
            </w:r>
          </w:p>
        </w:tc>
        <w:tc>
          <w:tcPr>
            <w:tcW w:w="5495" w:type="dxa"/>
            <w:vAlign w:val="center"/>
          </w:tcPr>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投标人提出的服务方案：</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售后服务具体详细，完全适用且优于本项目需求，得4分；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售后服务基本完整，完全适用本项目需求，得2分；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售后服务不完整，不完全满足项目需求，得1分；</w:t>
            </w:r>
          </w:p>
          <w:p>
            <w:pPr>
              <w:keepNext w:val="0"/>
              <w:keepLines w:val="0"/>
              <w:pageBreakBefore w:val="0"/>
              <w:kinsoku/>
              <w:wordWrap/>
              <w:overflowPunct/>
              <w:topLinePunct w:val="0"/>
              <w:bidi w:val="0"/>
              <w:adjustRightInd w:val="0"/>
              <w:spacing w:line="30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582" w:type="dxa"/>
            <w:vAlign w:val="center"/>
          </w:tcPr>
          <w:p>
            <w:pPr>
              <w:pStyle w:val="6"/>
              <w:spacing w:line="240" w:lineRule="auto"/>
              <w:jc w:val="center"/>
              <w:rPr>
                <w:rFonts w:hint="default" w:ascii="宋体" w:hAnsi="宋体" w:cs="宋体" w:eastAsiaTheme="minorEastAsia"/>
                <w:kern w:val="2"/>
                <w:sz w:val="21"/>
                <w:szCs w:val="21"/>
                <w:vertAlign w:val="baseline"/>
                <w:lang w:val="en-US" w:eastAsia="zh-CN" w:bidi="ar-SA"/>
              </w:rPr>
            </w:pPr>
            <w:r>
              <w:rPr>
                <w:rFonts w:hint="eastAsia" w:hAnsi="宋体" w:cs="宋体"/>
                <w:sz w:val="21"/>
                <w:szCs w:val="21"/>
                <w:vertAlign w:val="baseline"/>
                <w:lang w:val="en-US" w:eastAsia="zh-CN"/>
              </w:rPr>
              <w:t>10</w:t>
            </w:r>
          </w:p>
        </w:tc>
        <w:tc>
          <w:tcPr>
            <w:tcW w:w="1151" w:type="dxa"/>
            <w:vAlign w:val="center"/>
          </w:tcPr>
          <w:p>
            <w:pPr>
              <w:pStyle w:val="6"/>
              <w:spacing w:line="240" w:lineRule="auto"/>
              <w:jc w:val="center"/>
              <w:rPr>
                <w:rFonts w:hint="eastAsia" w:ascii="宋体" w:hAnsi="宋体" w:cs="宋体" w:eastAsiaTheme="minorEastAsia"/>
                <w:kern w:val="2"/>
                <w:sz w:val="21"/>
                <w:szCs w:val="21"/>
                <w:vertAlign w:val="baseline"/>
                <w:lang w:val="en-US" w:eastAsia="zh-CN" w:bidi="ar-SA"/>
              </w:rPr>
            </w:pPr>
            <w:r>
              <w:rPr>
                <w:rFonts w:hint="eastAsia" w:hAnsi="宋体" w:cs="宋体"/>
                <w:sz w:val="21"/>
                <w:szCs w:val="21"/>
                <w:vertAlign w:val="baseline"/>
                <w:lang w:val="en-US" w:eastAsia="zh-CN"/>
              </w:rPr>
              <w:t>价格部分</w:t>
            </w:r>
          </w:p>
        </w:tc>
        <w:tc>
          <w:tcPr>
            <w:tcW w:w="1950" w:type="dxa"/>
            <w:gridSpan w:val="2"/>
            <w:vAlign w:val="center"/>
          </w:tcPr>
          <w:p>
            <w:pPr>
              <w:pStyle w:val="6"/>
              <w:spacing w:line="240" w:lineRule="auto"/>
              <w:jc w:val="center"/>
              <w:rPr>
                <w:rFonts w:hint="eastAsia" w:ascii="宋体" w:hAnsi="宋体" w:cs="宋体" w:eastAsiaTheme="minorEastAsia"/>
                <w:kern w:val="2"/>
                <w:sz w:val="21"/>
                <w:szCs w:val="21"/>
                <w:vertAlign w:val="baseline"/>
                <w:lang w:val="en-US" w:eastAsia="zh-CN" w:bidi="ar-SA"/>
              </w:rPr>
            </w:pPr>
            <w:r>
              <w:rPr>
                <w:rFonts w:hint="eastAsia" w:hAnsi="宋体" w:cs="宋体"/>
                <w:sz w:val="21"/>
                <w:szCs w:val="21"/>
                <w:vertAlign w:val="baseline"/>
                <w:lang w:val="en-US" w:eastAsia="zh-CN"/>
              </w:rPr>
              <w:t>投标报价</w:t>
            </w:r>
          </w:p>
        </w:tc>
        <w:tc>
          <w:tcPr>
            <w:tcW w:w="784" w:type="dxa"/>
            <w:vAlign w:val="center"/>
          </w:tcPr>
          <w:p>
            <w:pPr>
              <w:pStyle w:val="6"/>
              <w:spacing w:line="240" w:lineRule="auto"/>
              <w:jc w:val="center"/>
              <w:rPr>
                <w:rFonts w:hint="eastAsia" w:ascii="宋体" w:hAnsi="宋体" w:cs="宋体" w:eastAsiaTheme="minorEastAsia"/>
                <w:kern w:val="2"/>
                <w:sz w:val="21"/>
                <w:szCs w:val="21"/>
                <w:vertAlign w:val="baseline"/>
                <w:lang w:val="en-US" w:eastAsia="zh-CN" w:bidi="ar-SA"/>
              </w:rPr>
            </w:pPr>
            <w:r>
              <w:rPr>
                <w:rFonts w:hint="eastAsia" w:hAnsi="宋体" w:cs="宋体"/>
                <w:sz w:val="21"/>
                <w:szCs w:val="21"/>
                <w:vertAlign w:val="baseline"/>
                <w:lang w:val="en-US" w:eastAsia="zh-CN"/>
              </w:rPr>
              <w:t>30</w:t>
            </w:r>
          </w:p>
        </w:tc>
        <w:tc>
          <w:tcPr>
            <w:tcW w:w="5495" w:type="dxa"/>
            <w:vAlign w:val="center"/>
          </w:tcPr>
          <w:p>
            <w:pPr>
              <w:pStyle w:val="6"/>
              <w:spacing w:line="240" w:lineRule="auto"/>
              <w:jc w:val="left"/>
              <w:rPr>
                <w:rFonts w:hint="eastAsia" w:ascii="宋体" w:hAnsi="宋体" w:cs="宋体" w:eastAsiaTheme="minorEastAsia"/>
                <w:kern w:val="2"/>
                <w:sz w:val="21"/>
                <w:szCs w:val="21"/>
                <w:vertAlign w:val="baseline"/>
                <w:lang w:val="en-US" w:eastAsia="zh-CN" w:bidi="ar-SA"/>
              </w:rPr>
            </w:pPr>
            <w:r>
              <w:rPr>
                <w:rFonts w:hint="eastAsia" w:ascii="宋体" w:hAnsi="宋体"/>
                <w:sz w:val="21"/>
                <w:szCs w:val="21"/>
              </w:rPr>
              <w:t>满足招标文件要求且投标价格最低的投标报价为评标基准价，其价格分为满分；其他投标人的价格统一按照下列公式计算：投标报价得分=(评标基准价／投标报价)×（价格权重30%）×100。按总分的占比，最高不超过30分。</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TdlM2NkNjJmNzdjMjJhMmY5OGM3Y2JhZTM1ODEifQ=="/>
  </w:docVars>
  <w:rsids>
    <w:rsidRoot w:val="7F751678"/>
    <w:rsid w:val="043438CC"/>
    <w:rsid w:val="068A2359"/>
    <w:rsid w:val="06E8731C"/>
    <w:rsid w:val="0D3C6E7E"/>
    <w:rsid w:val="0E571CD2"/>
    <w:rsid w:val="0E860D58"/>
    <w:rsid w:val="138A3DD6"/>
    <w:rsid w:val="14327E28"/>
    <w:rsid w:val="1A7F24BA"/>
    <w:rsid w:val="20711CD8"/>
    <w:rsid w:val="21F41A5B"/>
    <w:rsid w:val="25AE752B"/>
    <w:rsid w:val="275645F1"/>
    <w:rsid w:val="2AE46F80"/>
    <w:rsid w:val="2C646B95"/>
    <w:rsid w:val="2EF16FF1"/>
    <w:rsid w:val="3200110E"/>
    <w:rsid w:val="331371D9"/>
    <w:rsid w:val="35B5220F"/>
    <w:rsid w:val="396D6FEF"/>
    <w:rsid w:val="3C485B8B"/>
    <w:rsid w:val="3CED04E1"/>
    <w:rsid w:val="3F614C2C"/>
    <w:rsid w:val="41576607"/>
    <w:rsid w:val="41984EBF"/>
    <w:rsid w:val="461E170B"/>
    <w:rsid w:val="46A50E9C"/>
    <w:rsid w:val="488A3A9A"/>
    <w:rsid w:val="4A1779D0"/>
    <w:rsid w:val="4BF61CFD"/>
    <w:rsid w:val="4DDB7F97"/>
    <w:rsid w:val="4F8627FB"/>
    <w:rsid w:val="525E7A5F"/>
    <w:rsid w:val="548337AD"/>
    <w:rsid w:val="55D06EDC"/>
    <w:rsid w:val="56081A26"/>
    <w:rsid w:val="5704647A"/>
    <w:rsid w:val="57FA1FD8"/>
    <w:rsid w:val="5D301FF8"/>
    <w:rsid w:val="5DB06C95"/>
    <w:rsid w:val="612031E2"/>
    <w:rsid w:val="625E13B5"/>
    <w:rsid w:val="67FB439B"/>
    <w:rsid w:val="68872199"/>
    <w:rsid w:val="6C7C7008"/>
    <w:rsid w:val="70AB1C6A"/>
    <w:rsid w:val="72AA7CFF"/>
    <w:rsid w:val="744321B9"/>
    <w:rsid w:val="7B98728E"/>
    <w:rsid w:val="7C4202A8"/>
    <w:rsid w:val="7EF976A3"/>
    <w:rsid w:val="7F6C4CBA"/>
    <w:rsid w:val="7F75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jc w:val="left"/>
      <w:outlineLvl w:val="2"/>
    </w:pPr>
    <w:rPr>
      <w:rFonts w:eastAsia="黑体"/>
      <w:b/>
      <w:bCs/>
      <w:sz w:val="24"/>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annotation text"/>
    <w:basedOn w:val="1"/>
    <w:qFormat/>
    <w:uiPriority w:val="99"/>
    <w:pPr>
      <w:jc w:val="left"/>
    </w:pPr>
  </w:style>
  <w:style w:type="paragraph" w:styleId="5">
    <w:name w:val="Body Text"/>
    <w:basedOn w:val="1"/>
    <w:unhideWhenUsed/>
    <w:qFormat/>
    <w:uiPriority w:val="99"/>
    <w:pPr>
      <w:spacing w:after="12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qFormat/>
    <w:uiPriority w:val="99"/>
    <w:rPr>
      <w:sz w:val="21"/>
      <w:szCs w:val="21"/>
    </w:rPr>
  </w:style>
  <w:style w:type="paragraph" w:customStyle="1" w:styleId="15">
    <w:name w:val="列出段落1"/>
    <w:basedOn w:val="1"/>
    <w:qFormat/>
    <w:uiPriority w:val="99"/>
    <w:pPr>
      <w:ind w:firstLine="420" w:firstLineChars="200"/>
    </w:pPr>
    <w:rPr>
      <w:rFonts w:eastAsia="宋体"/>
      <w:sz w:val="21"/>
      <w:szCs w:val="21"/>
    </w:rPr>
  </w:style>
  <w:style w:type="paragraph" w:styleId="16">
    <w:name w:val="List Paragraph"/>
    <w:basedOn w:val="1"/>
    <w:unhideWhenUsed/>
    <w:qFormat/>
    <w:uiPriority w:val="34"/>
    <w:pPr>
      <w:ind w:firstLine="420" w:firstLineChars="200"/>
    </w:pPr>
    <w:rPr>
      <w:rFonts w:ascii="Calibri" w:hAnsi="Calibri" w:eastAsia="宋体"/>
      <w:sz w:val="21"/>
      <w:szCs w:val="22"/>
    </w:rPr>
  </w:style>
  <w:style w:type="character" w:customStyle="1" w:styleId="17">
    <w:name w:val="样式 标题 3H3l3CT标题222Bold Headbhlevel_3PIM 3Level 3 Heads... Char"/>
    <w:link w:val="18"/>
    <w:qFormat/>
    <w:uiPriority w:val="0"/>
    <w:rPr>
      <w:rFonts w:ascii="宋体" w:hAnsi="宋体"/>
      <w:color w:val="000000"/>
    </w:rPr>
  </w:style>
  <w:style w:type="paragraph" w:customStyle="1" w:styleId="18">
    <w:name w:val="样式 标题 3H3l3CT标题222Bold Headbhlevel_3PIM 3Level 3 Heads..."/>
    <w:basedOn w:val="2"/>
    <w:link w:val="17"/>
    <w:qFormat/>
    <w:uiPriority w:val="0"/>
    <w:rPr>
      <w:rFonts w:ascii="宋体" w:hAnsi="宋体"/>
      <w:color w:val="000000"/>
    </w:rPr>
  </w:style>
  <w:style w:type="paragraph" w:customStyle="1" w:styleId="19">
    <w:name w:val="Default"/>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1293</Words>
  <Characters>1331</Characters>
  <Lines>0</Lines>
  <Paragraphs>0</Paragraphs>
  <TotalTime>4</TotalTime>
  <ScaleCrop>false</ScaleCrop>
  <LinksUpToDate>false</LinksUpToDate>
  <CharactersWithSpaces>1341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2022-09-19T07:08:00Z</dcterms:created>
  <dc:creator>舟</dc:creator>
  <cp:lastModifiedBy>Administrator</cp:lastModifiedBy>
  <dcterms:modified xsi:type="dcterms:W3CDTF">2022-11-25T06:40:33Z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EBAB05308751429CAE1DE8DA03306D7F</vt:lpwstr>
  </property>
</Properties>
</file>