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73DCF">
      <w:pPr>
        <w:widowControl/>
        <w:spacing w:line="600" w:lineRule="exact"/>
        <w:jc w:val="center"/>
        <w:rPr>
          <w:rFonts w:cs="Helvetica" w:asciiTheme="minorEastAsia" w:hAnsiTheme="minorEastAsia" w:eastAsiaTheme="minorEastAsia"/>
          <w:b/>
          <w:color w:val="000000" w:themeColor="text1"/>
          <w:kern w:val="0"/>
          <w:sz w:val="36"/>
          <w:szCs w:val="36"/>
          <w14:textFill>
            <w14:solidFill>
              <w14:schemeClr w14:val="tx1"/>
            </w14:solidFill>
          </w14:textFill>
        </w:rPr>
      </w:pPr>
      <w:bookmarkStart w:id="0" w:name="_Toc12355_WPSOffice_Level1"/>
      <w:r>
        <w:rPr>
          <w:rFonts w:hint="eastAsia" w:cs="Helvetica" w:asciiTheme="minorEastAsia" w:hAnsiTheme="minorEastAsia" w:eastAsiaTheme="minorEastAsia"/>
          <w:b/>
          <w:color w:val="000000" w:themeColor="text1"/>
          <w:kern w:val="0"/>
          <w:sz w:val="36"/>
          <w:szCs w:val="36"/>
          <w14:textFill>
            <w14:solidFill>
              <w14:schemeClr w14:val="tx1"/>
            </w14:solidFill>
          </w14:textFill>
        </w:rPr>
        <w:t>江门市技师学院</w:t>
      </w:r>
    </w:p>
    <w:p w14:paraId="5D24368D">
      <w:pPr>
        <w:widowControl/>
        <w:spacing w:line="600" w:lineRule="exact"/>
        <w:jc w:val="center"/>
        <w:rPr>
          <w:rFonts w:cs="Helvetica" w:asciiTheme="minorEastAsia" w:hAnsiTheme="minorEastAsia" w:eastAsiaTheme="minorEastAsia"/>
          <w:b/>
          <w:color w:val="000000" w:themeColor="text1"/>
          <w:kern w:val="0"/>
          <w:sz w:val="36"/>
          <w:szCs w:val="36"/>
          <w14:textFill>
            <w14:solidFill>
              <w14:schemeClr w14:val="tx1"/>
            </w14:solidFill>
          </w14:textFill>
        </w:rPr>
      </w:pPr>
      <w:r>
        <w:rPr>
          <w:rFonts w:hint="eastAsia" w:cs="Helvetica" w:asciiTheme="minorEastAsia" w:hAnsiTheme="minorEastAsia" w:eastAsiaTheme="minorEastAsia"/>
          <w:b/>
          <w:color w:val="000000" w:themeColor="text1"/>
          <w:kern w:val="0"/>
          <w:sz w:val="36"/>
          <w:szCs w:val="36"/>
          <w14:textFill>
            <w14:solidFill>
              <w14:schemeClr w14:val="tx1"/>
            </w14:solidFill>
          </w14:textFill>
        </w:rPr>
        <w:t>“科创一条街”建设项目（第二次）需求书</w:t>
      </w:r>
    </w:p>
    <w:p w14:paraId="4511613C">
      <w:pPr>
        <w:widowControl/>
        <w:spacing w:line="600" w:lineRule="exact"/>
        <w:jc w:val="center"/>
        <w:rPr>
          <w:rFonts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18AEC031">
      <w:pPr>
        <w:widowControl/>
        <w:spacing w:line="360" w:lineRule="auto"/>
        <w:ind w:firstLine="562" w:firstLineChars="200"/>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一、项目基本情况</w:t>
      </w:r>
    </w:p>
    <w:tbl>
      <w:tblPr>
        <w:tblStyle w:val="19"/>
        <w:tblW w:w="1012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35"/>
        <w:gridCol w:w="3117"/>
        <w:gridCol w:w="1717"/>
        <w:gridCol w:w="2957"/>
      </w:tblGrid>
      <w:tr w14:paraId="55C904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228C0A63">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117" w:type="dxa"/>
            <w:vAlign w:val="center"/>
          </w:tcPr>
          <w:p w14:paraId="6CE552EA">
            <w:pPr>
              <w:spacing w:line="420" w:lineRule="exact"/>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cs="宋体" w:asciiTheme="minorEastAsia" w:hAnsiTheme="minorEastAsia" w:eastAsiaTheme="minorEastAsia"/>
                <w:bCs/>
                <w:kern w:val="0"/>
                <w:sz w:val="24"/>
                <w:szCs w:val="24"/>
              </w:rPr>
              <w:t>江门市技师学院“科创一条街”建设项目（第二次）</w:t>
            </w:r>
          </w:p>
        </w:tc>
        <w:tc>
          <w:tcPr>
            <w:tcW w:w="1717" w:type="dxa"/>
            <w:vAlign w:val="center"/>
          </w:tcPr>
          <w:p w14:paraId="5ACF0439">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szCs w:val="24"/>
              </w:rPr>
              <w:t>项目编号</w:t>
            </w:r>
          </w:p>
        </w:tc>
        <w:tc>
          <w:tcPr>
            <w:tcW w:w="2957" w:type="dxa"/>
            <w:vAlign w:val="center"/>
          </w:tcPr>
          <w:p w14:paraId="51045148">
            <w:pPr>
              <w:spacing w:line="360" w:lineRule="auto"/>
              <w:jc w:val="center"/>
              <w:rPr>
                <w:rFonts w:hint="default" w:cs="宋体" w:asciiTheme="minorEastAsia" w:hAnsiTheme="minorEastAsia" w:eastAsiaTheme="minorEastAsia"/>
                <w:bCs/>
                <w:kern w:val="0"/>
                <w:sz w:val="24"/>
                <w:szCs w:val="24"/>
                <w:lang w:val="en-US"/>
              </w:rPr>
            </w:pPr>
            <w:r>
              <w:rPr>
                <w:rFonts w:hint="eastAsia" w:cs="宋体" w:asciiTheme="minorEastAsia" w:hAnsiTheme="minorEastAsia" w:eastAsiaTheme="minorEastAsia"/>
                <w:bCs/>
                <w:kern w:val="0"/>
                <w:sz w:val="24"/>
                <w:szCs w:val="24"/>
                <w:lang w:val="en-US" w:eastAsia="zh-CN"/>
              </w:rPr>
              <w:t>jys-cgzx-2026-39-01</w:t>
            </w:r>
          </w:p>
        </w:tc>
      </w:tr>
      <w:tr w14:paraId="77827E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439B9413">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117" w:type="dxa"/>
            <w:vAlign w:val="center"/>
          </w:tcPr>
          <w:p w14:paraId="62DBC31B">
            <w:pPr>
              <w:spacing w:line="420" w:lineRule="exact"/>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¥109950.62元(大写:人民币</w:t>
            </w:r>
            <w:r>
              <w:rPr>
                <w:rFonts w:hint="eastAsia" w:cs="宋体" w:asciiTheme="minorEastAsia" w:hAnsiTheme="minorEastAsia" w:eastAsiaTheme="minorEastAsia"/>
                <w:bCs/>
                <w:kern w:val="0"/>
                <w:sz w:val="24"/>
                <w:szCs w:val="24"/>
                <w:lang w:val="en-US" w:eastAsia="zh-CN"/>
              </w:rPr>
              <w:t>壹拾万零玖仟玖佰伍拾元陆角贰分</w:t>
            </w:r>
            <w:r>
              <w:rPr>
                <w:rFonts w:hint="eastAsia" w:cs="宋体" w:asciiTheme="minorEastAsia" w:hAnsiTheme="minorEastAsia" w:eastAsiaTheme="minorEastAsia"/>
                <w:bCs/>
                <w:kern w:val="0"/>
                <w:sz w:val="24"/>
                <w:szCs w:val="24"/>
              </w:rPr>
              <w:t>)</w:t>
            </w:r>
          </w:p>
        </w:tc>
        <w:tc>
          <w:tcPr>
            <w:tcW w:w="1717" w:type="dxa"/>
            <w:vAlign w:val="center"/>
          </w:tcPr>
          <w:p w14:paraId="04F505A3">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rPr>
              <w:t>履行期限</w:t>
            </w:r>
          </w:p>
        </w:tc>
        <w:tc>
          <w:tcPr>
            <w:tcW w:w="2957" w:type="dxa"/>
            <w:vAlign w:val="center"/>
          </w:tcPr>
          <w:p w14:paraId="5C2A9FF6">
            <w:pPr>
              <w:spacing w:line="420" w:lineRule="exact"/>
              <w:jc w:val="center"/>
              <w:rPr>
                <w:rFonts w:cs="宋体" w:asciiTheme="minorEastAsia" w:hAnsiTheme="minorEastAsia" w:eastAsiaTheme="minorEastAsia"/>
                <w:bCs/>
                <w:kern w:val="0"/>
                <w:sz w:val="24"/>
                <w:szCs w:val="24"/>
              </w:rPr>
            </w:pPr>
            <w:r>
              <w:rPr>
                <w:rFonts w:hint="eastAsia" w:ascii="宋体" w:hAnsi="宋体" w:eastAsia="宋体" w:cs="宋体"/>
                <w:sz w:val="24"/>
              </w:rPr>
              <w:t>采购人确认施工方案起30个日历日内完成所有工作并通过验收</w:t>
            </w:r>
          </w:p>
        </w:tc>
      </w:tr>
      <w:tr w14:paraId="528C7C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44063248">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117" w:type="dxa"/>
            <w:vAlign w:val="center"/>
          </w:tcPr>
          <w:p w14:paraId="7C5D0062">
            <w:pPr>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28"/>
                <w:sz w:val="24"/>
                <w:szCs w:val="24"/>
                <w14:textFill>
                  <w14:solidFill>
                    <w14:schemeClr w14:val="tx1"/>
                  </w14:solidFill>
                </w14:textFill>
              </w:rPr>
              <w:t>综合评分法</w:t>
            </w:r>
          </w:p>
        </w:tc>
        <w:tc>
          <w:tcPr>
            <w:tcW w:w="1717" w:type="dxa"/>
            <w:vAlign w:val="center"/>
          </w:tcPr>
          <w:p w14:paraId="34A23623">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957" w:type="dxa"/>
            <w:vAlign w:val="center"/>
          </w:tcPr>
          <w:p w14:paraId="62684F8B">
            <w:pPr>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cs="宋体" w:asciiTheme="minorEastAsia" w:hAnsiTheme="minorEastAsia" w:eastAsiaTheme="minorEastAsia"/>
                <w:bCs/>
                <w:kern w:val="0"/>
                <w:sz w:val="24"/>
                <w:szCs w:val="24"/>
              </w:rPr>
              <w:t>是</w:t>
            </w:r>
          </w:p>
        </w:tc>
      </w:tr>
      <w:tr w14:paraId="39B790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25D22C7C">
            <w:pPr>
              <w:spacing w:line="360" w:lineRule="auto"/>
              <w:jc w:val="center"/>
              <w:rPr>
                <w:rFonts w:cs="宋体" w:asciiTheme="minorEastAsia" w:hAnsiTheme="minorEastAsia" w:eastAsiaTheme="minorEastAsia"/>
                <w:bCs/>
                <w:color w:val="0000FF"/>
                <w:kern w:val="0"/>
                <w:sz w:val="24"/>
                <w:szCs w:val="24"/>
              </w:rPr>
            </w:pPr>
            <w:r>
              <w:rPr>
                <w:rFonts w:hint="eastAsia" w:cs="宋体" w:asciiTheme="minorEastAsia" w:hAnsiTheme="minorEastAsia" w:eastAsiaTheme="minorEastAsia"/>
                <w:bCs/>
                <w:kern w:val="0"/>
                <w:sz w:val="24"/>
                <w:szCs w:val="24"/>
              </w:rPr>
              <w:t>联系人</w:t>
            </w:r>
          </w:p>
        </w:tc>
        <w:tc>
          <w:tcPr>
            <w:tcW w:w="3117" w:type="dxa"/>
            <w:vAlign w:val="center"/>
          </w:tcPr>
          <w:p w14:paraId="7BA86553">
            <w:pPr>
              <w:spacing w:line="360" w:lineRule="auto"/>
              <w:jc w:val="center"/>
              <w:rPr>
                <w:rFonts w:cs="宋体" w:asciiTheme="minorEastAsia" w:hAnsiTheme="minorEastAsia" w:eastAsiaTheme="minorEastAsia"/>
                <w:bCs/>
                <w:color w:val="0000FF"/>
                <w:kern w:val="0"/>
                <w:sz w:val="24"/>
                <w:szCs w:val="24"/>
              </w:rPr>
            </w:pPr>
            <w:r>
              <w:rPr>
                <w:rFonts w:hint="eastAsia" w:cs="宋体" w:asciiTheme="minorEastAsia" w:hAnsiTheme="minorEastAsia" w:eastAsiaTheme="minorEastAsia"/>
                <w:bCs/>
                <w:kern w:val="0"/>
                <w:sz w:val="24"/>
                <w:szCs w:val="24"/>
              </w:rPr>
              <w:t>余老师</w:t>
            </w:r>
          </w:p>
        </w:tc>
        <w:tc>
          <w:tcPr>
            <w:tcW w:w="1717" w:type="dxa"/>
            <w:vAlign w:val="center"/>
          </w:tcPr>
          <w:p w14:paraId="1A78A42B">
            <w:pPr>
              <w:spacing w:line="360" w:lineRule="auto"/>
              <w:jc w:val="center"/>
              <w:rPr>
                <w:rFonts w:cs="宋体" w:asciiTheme="minorEastAsia" w:hAnsiTheme="minorEastAsia" w:eastAsiaTheme="minorEastAsia"/>
                <w:bCs/>
                <w:color w:val="0000FF"/>
                <w:kern w:val="0"/>
                <w:sz w:val="24"/>
                <w:szCs w:val="24"/>
              </w:rPr>
            </w:pPr>
            <w:r>
              <w:rPr>
                <w:rFonts w:hint="eastAsia" w:cs="宋体" w:asciiTheme="minorEastAsia" w:hAnsiTheme="minorEastAsia" w:eastAsiaTheme="minorEastAsia"/>
                <w:bCs/>
                <w:kern w:val="0"/>
                <w:sz w:val="24"/>
                <w:szCs w:val="24"/>
              </w:rPr>
              <w:t>联系电话</w:t>
            </w:r>
          </w:p>
        </w:tc>
        <w:tc>
          <w:tcPr>
            <w:tcW w:w="2957" w:type="dxa"/>
            <w:vAlign w:val="center"/>
          </w:tcPr>
          <w:p w14:paraId="6A18ABF6">
            <w:pPr>
              <w:spacing w:line="360" w:lineRule="auto"/>
              <w:jc w:val="center"/>
              <w:rPr>
                <w:rFonts w:cs="宋体" w:asciiTheme="minorEastAsia" w:hAnsiTheme="minorEastAsia" w:eastAsiaTheme="minorEastAsia"/>
                <w:bCs/>
                <w:color w:val="0000FF"/>
                <w:kern w:val="0"/>
                <w:sz w:val="24"/>
                <w:szCs w:val="24"/>
              </w:rPr>
            </w:pPr>
            <w:r>
              <w:rPr>
                <w:rFonts w:hint="eastAsia" w:ascii="宋体" w:hAnsi="宋体" w:eastAsia="宋体" w:cs="宋体"/>
                <w:color w:val="333333"/>
                <w:sz w:val="24"/>
                <w:szCs w:val="24"/>
                <w:shd w:val="clear" w:color="auto" w:fill="FFFFFF"/>
              </w:rPr>
              <w:t>0750-3728581</w:t>
            </w:r>
          </w:p>
        </w:tc>
      </w:tr>
    </w:tbl>
    <w:p w14:paraId="4D904481">
      <w:pPr>
        <w:spacing w:before="204" w:beforeLines="50" w:line="360" w:lineRule="auto"/>
        <w:ind w:firstLine="562" w:firstLineChars="200"/>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二、投标人资格条件要求</w:t>
      </w:r>
    </w:p>
    <w:p w14:paraId="4284A818">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2B6BE0D1">
      <w:pPr>
        <w:spacing w:line="360" w:lineRule="auto"/>
        <w:ind w:firstLine="560" w:firstLineChars="200"/>
        <w:rPr>
          <w:rFonts w:cs="宋体" w:asciiTheme="minorEastAsia" w:hAnsiTheme="minorEastAsia" w:eastAsiaTheme="minorEastAsia"/>
          <w:bCs/>
          <w:color w:val="0000FF"/>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26291DF3">
      <w:pPr>
        <w:spacing w:line="360" w:lineRule="auto"/>
        <w:ind w:firstLine="562" w:firstLineChars="200"/>
        <w:rPr>
          <w:rFonts w:cs="宋体" w:asciiTheme="minorEastAsia" w:hAnsiTheme="minorEastAsia" w:eastAsiaTheme="minorEastAsia"/>
          <w:b/>
          <w:color w:val="000000" w:themeColor="text1"/>
          <w:kern w:val="0"/>
          <w:sz w:val="28"/>
          <w:szCs w:val="28"/>
          <w14:textFill>
            <w14:solidFill>
              <w14:schemeClr w14:val="tx1"/>
            </w14:solidFill>
          </w14:textFill>
        </w:rPr>
      </w:pPr>
      <w:r>
        <w:rPr>
          <w:rFonts w:hint="eastAsia" w:cs="宋体" w:asciiTheme="minorEastAsia" w:hAnsiTheme="minorEastAsia" w:eastAsiaTheme="minorEastAsia"/>
          <w:b/>
          <w:color w:val="000000" w:themeColor="text1"/>
          <w:kern w:val="0"/>
          <w:sz w:val="28"/>
          <w:szCs w:val="28"/>
          <w14:textFill>
            <w14:solidFill>
              <w14:schemeClr w14:val="tx1"/>
            </w14:solidFill>
          </w14:textFill>
        </w:rPr>
        <w:t>三、现场踏勘</w:t>
      </w:r>
    </w:p>
    <w:p w14:paraId="6DA885B5">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采购人不集中组织现场勘察，</w:t>
      </w:r>
      <w:r>
        <w:rPr>
          <w:rFonts w:hint="eastAsia" w:cs="宋体" w:asciiTheme="minorEastAsia" w:hAnsiTheme="minorEastAsia" w:eastAsiaTheme="minorEastAsia"/>
          <w:bCs/>
          <w:kern w:val="0"/>
          <w:sz w:val="28"/>
          <w:szCs w:val="28"/>
        </w:rPr>
        <w:t>由投标人按照采购要求自行组织踏勘，熟悉施工现场的地形、交通、周边环境等情况，以获取可能影响报价的直接资料。各投标人应根据现场踏勘实际情况、工程量清单等资料，自行复核项目工作量。</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所需发生的费用应在总报价中，一次包干。</w:t>
      </w:r>
    </w:p>
    <w:p w14:paraId="28814D2F">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1.投标人现场勘察的人数不得多于3人，服从现场管理人员的安全管理。</w:t>
      </w:r>
    </w:p>
    <w:p w14:paraId="34ADF6FF">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2.本项目在公示期内（节假日除外）</w:t>
      </w:r>
      <w:r>
        <w:rPr>
          <w:rFonts w:hint="eastAsia" w:cs="宋体" w:asciiTheme="minorEastAsia" w:hAnsiTheme="minorEastAsia" w:eastAsiaTheme="minorEastAsia"/>
          <w:b/>
          <w:bCs/>
          <w:kern w:val="0"/>
          <w:sz w:val="28"/>
          <w:szCs w:val="28"/>
        </w:rPr>
        <w:t>每天上午10：00～11：00时</w:t>
      </w:r>
      <w:r>
        <w:rPr>
          <w:rFonts w:hint="eastAsia" w:cs="宋体" w:asciiTheme="minorEastAsia" w:hAnsiTheme="minorEastAsia" w:eastAsiaTheme="minorEastAsia"/>
          <w:bCs/>
          <w:kern w:val="0"/>
          <w:sz w:val="28"/>
          <w:szCs w:val="28"/>
        </w:rPr>
        <w:t>（其他时段不受理）接受电话预约。业务联系人：孙老师  电话：13422778786。</w:t>
      </w:r>
    </w:p>
    <w:p w14:paraId="2FB75ED3">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3.投标人按约定时间在潮连校区校门口等待（潮连环岛西路22号南门），由教研室工作人员带领现场勘察。</w:t>
      </w:r>
    </w:p>
    <w:p w14:paraId="4D8D3F3C">
      <w:pPr>
        <w:spacing w:line="360" w:lineRule="auto"/>
        <w:ind w:firstLine="562" w:firstLineChars="200"/>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四、技术要求</w:t>
      </w:r>
    </w:p>
    <w:p w14:paraId="4331F5DB">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1.本项目为江门市技师学院“科创一条街”建设项目，投标人根据工程量清单（详见表1：工程量清单）、项目需求书要求以及项目现场勘察的实际情况，制定切实可行的工作整体实施方案，包括设计图、施工图。</w:t>
      </w:r>
    </w:p>
    <w:p w14:paraId="66432321">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表1：工程量清单</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8"/>
        <w:gridCol w:w="1413"/>
        <w:gridCol w:w="4239"/>
        <w:gridCol w:w="756"/>
        <w:gridCol w:w="1157"/>
        <w:gridCol w:w="1675"/>
      </w:tblGrid>
      <w:tr w14:paraId="33539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28" w:type="dxa"/>
            <w:shd w:val="clear" w:color="auto" w:fill="D9D9D9"/>
            <w:vAlign w:val="center"/>
          </w:tcPr>
          <w:p w14:paraId="31B79F65">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序号</w:t>
            </w:r>
          </w:p>
        </w:tc>
        <w:tc>
          <w:tcPr>
            <w:tcW w:w="1413" w:type="dxa"/>
            <w:shd w:val="clear" w:color="auto" w:fill="D9D9D9"/>
            <w:vAlign w:val="center"/>
          </w:tcPr>
          <w:p w14:paraId="40D9B384">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需求内容</w:t>
            </w:r>
          </w:p>
        </w:tc>
        <w:tc>
          <w:tcPr>
            <w:tcW w:w="4239" w:type="dxa"/>
            <w:shd w:val="clear" w:color="auto" w:fill="D9D9D9"/>
            <w:vAlign w:val="center"/>
          </w:tcPr>
          <w:p w14:paraId="3AADB0F1">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需求说明</w:t>
            </w:r>
          </w:p>
        </w:tc>
        <w:tc>
          <w:tcPr>
            <w:tcW w:w="756" w:type="dxa"/>
            <w:shd w:val="clear" w:color="auto" w:fill="D9D9D9"/>
            <w:vAlign w:val="center"/>
          </w:tcPr>
          <w:p w14:paraId="57878C20">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单位</w:t>
            </w:r>
          </w:p>
        </w:tc>
        <w:tc>
          <w:tcPr>
            <w:tcW w:w="1157" w:type="dxa"/>
            <w:shd w:val="clear" w:color="auto" w:fill="D9D9D9"/>
            <w:vAlign w:val="center"/>
          </w:tcPr>
          <w:p w14:paraId="6F109154">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数量</w:t>
            </w:r>
          </w:p>
        </w:tc>
        <w:tc>
          <w:tcPr>
            <w:tcW w:w="1675" w:type="dxa"/>
            <w:shd w:val="clear" w:color="auto" w:fill="D9D9D9"/>
            <w:vAlign w:val="center"/>
          </w:tcPr>
          <w:p w14:paraId="47E90E9C">
            <w:pPr>
              <w:spacing w:before="40" w:after="40"/>
              <w:jc w:val="center"/>
              <w:rPr>
                <w:rFonts w:ascii="宋体" w:hAnsi="宋体" w:eastAsia="宋体" w:cs="宋体"/>
                <w:sz w:val="24"/>
                <w:szCs w:val="24"/>
              </w:rPr>
            </w:pPr>
            <w:r>
              <w:rPr>
                <w:rFonts w:hint="eastAsia" w:ascii="宋体" w:hAnsi="宋体" w:eastAsia="宋体" w:cs="宋体"/>
                <w:b/>
                <w:color w:val="000000"/>
                <w:sz w:val="24"/>
                <w:szCs w:val="24"/>
              </w:rPr>
              <w:t>备注</w:t>
            </w:r>
          </w:p>
        </w:tc>
      </w:tr>
      <w:tr w14:paraId="76E63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968" w:type="dxa"/>
            <w:gridSpan w:val="6"/>
            <w:shd w:val="clear" w:color="auto" w:fill="FFFFFF"/>
            <w:vAlign w:val="center"/>
          </w:tcPr>
          <w:p w14:paraId="336EAACF">
            <w:pPr>
              <w:tabs>
                <w:tab w:val="left" w:pos="1123"/>
              </w:tabs>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rPr>
              <w:t>一、街区立牌</w:t>
            </w:r>
          </w:p>
        </w:tc>
      </w:tr>
      <w:tr w14:paraId="12FA0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B3AD2B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413" w:type="dxa"/>
            <w:shd w:val="clear" w:color="auto" w:fill="FFFFFF"/>
            <w:vAlign w:val="center"/>
          </w:tcPr>
          <w:p w14:paraId="6954DCC9">
            <w:pPr>
              <w:spacing w:before="40" w:after="40"/>
              <w:jc w:val="left"/>
              <w:rPr>
                <w:rFonts w:ascii="宋体" w:hAnsi="宋体" w:eastAsia="宋体" w:cs="宋体"/>
                <w:sz w:val="24"/>
                <w:szCs w:val="24"/>
              </w:rPr>
            </w:pPr>
            <w:r>
              <w:rPr>
                <w:rFonts w:hint="eastAsia" w:ascii="宋体" w:hAnsi="宋体" w:eastAsia="宋体" w:cs="宋体"/>
                <w:color w:val="000000"/>
                <w:sz w:val="24"/>
                <w:szCs w:val="24"/>
              </w:rPr>
              <w:t>地面硬化及街牌设计安装</w:t>
            </w:r>
          </w:p>
        </w:tc>
        <w:tc>
          <w:tcPr>
            <w:tcW w:w="4239" w:type="dxa"/>
            <w:shd w:val="clear" w:color="auto" w:fill="FFFFFF"/>
            <w:vAlign w:val="center"/>
          </w:tcPr>
          <w:p w14:paraId="6A46C905">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地面硬化，C20混凝土浇筑，垫层厚度10cm，开挖及回填夯实，面积约1.5㎡；</w:t>
            </w:r>
          </w:p>
          <w:p w14:paraId="65DFFB4A">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街区立牌设计，尺寸280×210cm</w:t>
            </w:r>
          </w:p>
          <w:p w14:paraId="5A7F9E7C">
            <w:pPr>
              <w:widowControl/>
              <w:numPr>
                <w:ilvl w:val="255"/>
                <w:numId w:val="0"/>
              </w:num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街牌安装，预埋钢结构预埋件（镀锌方管80×80mm），街牌主体采用铝板烤漆工艺，规格400×350cm，含正面发光字。</w:t>
            </w:r>
          </w:p>
        </w:tc>
        <w:tc>
          <w:tcPr>
            <w:tcW w:w="756" w:type="dxa"/>
            <w:shd w:val="clear" w:color="auto" w:fill="FFFFFF"/>
            <w:vAlign w:val="center"/>
          </w:tcPr>
          <w:p w14:paraId="063E90E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B25720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622A827F">
            <w:pPr>
              <w:spacing w:before="40" w:after="40"/>
              <w:jc w:val="left"/>
              <w:rPr>
                <w:rFonts w:ascii="宋体" w:hAnsi="宋体" w:eastAsia="宋体" w:cs="宋体"/>
                <w:sz w:val="24"/>
                <w:szCs w:val="24"/>
              </w:rPr>
            </w:pPr>
          </w:p>
        </w:tc>
      </w:tr>
      <w:tr w14:paraId="0DD6E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565D902">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2</w:t>
            </w:r>
          </w:p>
        </w:tc>
        <w:tc>
          <w:tcPr>
            <w:tcW w:w="1413" w:type="dxa"/>
            <w:shd w:val="clear" w:color="auto" w:fill="FFFFFF"/>
            <w:vAlign w:val="center"/>
          </w:tcPr>
          <w:p w14:paraId="00DC839B">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rPr>
              <w:t>街区立牌灯、电路安装</w:t>
            </w:r>
          </w:p>
        </w:tc>
        <w:tc>
          <w:tcPr>
            <w:tcW w:w="4239" w:type="dxa"/>
            <w:shd w:val="clear" w:color="auto" w:fill="FFFFFF"/>
            <w:vAlign w:val="center"/>
          </w:tcPr>
          <w:p w14:paraId="334DD519">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街区立牌灯光及配电线路安装，含LED洗墙灯/射灯（长度约4m）、穿线管、电线、空开及漏电保护，从指定电源点接线。</w:t>
            </w:r>
          </w:p>
        </w:tc>
        <w:tc>
          <w:tcPr>
            <w:tcW w:w="756" w:type="dxa"/>
            <w:shd w:val="clear" w:color="auto" w:fill="FFFFFF"/>
            <w:vAlign w:val="center"/>
          </w:tcPr>
          <w:p w14:paraId="04BA3217">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527EBFF4">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20ED2FFC">
            <w:pPr>
              <w:spacing w:before="40" w:after="40"/>
              <w:jc w:val="left"/>
              <w:rPr>
                <w:rFonts w:ascii="宋体" w:hAnsi="宋体" w:eastAsia="宋体" w:cs="宋体"/>
                <w:sz w:val="24"/>
                <w:szCs w:val="24"/>
              </w:rPr>
            </w:pPr>
          </w:p>
        </w:tc>
      </w:tr>
      <w:tr w14:paraId="74D44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4DC7A1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w:t>
            </w:r>
          </w:p>
        </w:tc>
        <w:tc>
          <w:tcPr>
            <w:tcW w:w="1413" w:type="dxa"/>
            <w:shd w:val="clear" w:color="auto" w:fill="FFFFFF"/>
            <w:vAlign w:val="center"/>
          </w:tcPr>
          <w:p w14:paraId="46137FC7">
            <w:pPr>
              <w:spacing w:before="40" w:after="40"/>
              <w:jc w:val="left"/>
              <w:rPr>
                <w:rFonts w:ascii="宋体" w:hAnsi="宋体" w:eastAsia="宋体" w:cs="宋体"/>
                <w:sz w:val="24"/>
                <w:szCs w:val="24"/>
              </w:rPr>
            </w:pPr>
            <w:r>
              <w:rPr>
                <w:rFonts w:hint="eastAsia" w:ascii="宋体" w:hAnsi="宋体" w:eastAsia="宋体" w:cs="宋体"/>
                <w:color w:val="000000"/>
                <w:sz w:val="24"/>
                <w:szCs w:val="24"/>
              </w:rPr>
              <w:t>围墙攀藤花</w:t>
            </w:r>
          </w:p>
        </w:tc>
        <w:tc>
          <w:tcPr>
            <w:tcW w:w="4239" w:type="dxa"/>
            <w:shd w:val="clear" w:color="auto" w:fill="FFFFFF"/>
            <w:vAlign w:val="center"/>
          </w:tcPr>
          <w:p w14:paraId="4C08B9D4">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种植爬墙虎/炮仗花等攀藤植物，苗高120-160cm，沿围墙脚种植间距约30cm，含种植土回填、基肥及成活养护（保活期3个月）。</w:t>
            </w:r>
          </w:p>
        </w:tc>
        <w:tc>
          <w:tcPr>
            <w:tcW w:w="756" w:type="dxa"/>
            <w:shd w:val="clear" w:color="auto" w:fill="FFFFFF"/>
            <w:vAlign w:val="center"/>
          </w:tcPr>
          <w:p w14:paraId="3A9D825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株</w:t>
            </w:r>
          </w:p>
        </w:tc>
        <w:tc>
          <w:tcPr>
            <w:tcW w:w="1157" w:type="dxa"/>
            <w:shd w:val="clear" w:color="auto" w:fill="FFFFFF"/>
            <w:vAlign w:val="center"/>
          </w:tcPr>
          <w:p w14:paraId="0A5D465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5株</w:t>
            </w:r>
          </w:p>
        </w:tc>
        <w:tc>
          <w:tcPr>
            <w:tcW w:w="1675" w:type="dxa"/>
            <w:shd w:val="clear" w:color="auto" w:fill="FFFFFF"/>
            <w:vAlign w:val="center"/>
          </w:tcPr>
          <w:p w14:paraId="08DE94D5">
            <w:pPr>
              <w:spacing w:before="40" w:after="40"/>
              <w:jc w:val="left"/>
              <w:rPr>
                <w:rFonts w:ascii="宋体" w:hAnsi="宋体" w:eastAsia="宋体" w:cs="宋体"/>
                <w:sz w:val="24"/>
                <w:szCs w:val="24"/>
              </w:rPr>
            </w:pPr>
          </w:p>
        </w:tc>
      </w:tr>
      <w:tr w14:paraId="64657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4481950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4</w:t>
            </w:r>
          </w:p>
        </w:tc>
        <w:tc>
          <w:tcPr>
            <w:tcW w:w="1413" w:type="dxa"/>
            <w:shd w:val="clear" w:color="auto" w:fill="FFFFFF"/>
            <w:vAlign w:val="center"/>
          </w:tcPr>
          <w:p w14:paraId="1E0962CA">
            <w:pPr>
              <w:spacing w:before="40" w:after="40"/>
              <w:jc w:val="left"/>
              <w:rPr>
                <w:rFonts w:ascii="宋体" w:hAnsi="宋体" w:eastAsia="宋体" w:cs="宋体"/>
                <w:sz w:val="24"/>
                <w:szCs w:val="24"/>
              </w:rPr>
            </w:pPr>
            <w:r>
              <w:rPr>
                <w:rFonts w:hint="eastAsia" w:ascii="宋体" w:hAnsi="宋体" w:eastAsia="宋体" w:cs="宋体"/>
                <w:color w:val="000000"/>
                <w:sz w:val="24"/>
                <w:szCs w:val="24"/>
              </w:rPr>
              <w:t>草皮</w:t>
            </w:r>
          </w:p>
        </w:tc>
        <w:tc>
          <w:tcPr>
            <w:tcW w:w="4239" w:type="dxa"/>
            <w:shd w:val="clear" w:color="auto" w:fill="FFFFFF"/>
            <w:vAlign w:val="center"/>
          </w:tcPr>
          <w:p w14:paraId="76F024A5">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铺设台湾草/马尼拉草皮，面积约60㎡（1300×460cm），含场地平整、低坡度造型、细土找平、草皮铺设、滚压夯实及首次浇透定根水。</w:t>
            </w:r>
          </w:p>
        </w:tc>
        <w:tc>
          <w:tcPr>
            <w:tcW w:w="756" w:type="dxa"/>
            <w:shd w:val="clear" w:color="auto" w:fill="FFFFFF"/>
            <w:vAlign w:val="center"/>
          </w:tcPr>
          <w:p w14:paraId="2372D61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0C505D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7174D2C">
            <w:pPr>
              <w:spacing w:before="40" w:after="40"/>
              <w:jc w:val="left"/>
              <w:rPr>
                <w:rFonts w:ascii="宋体" w:hAnsi="宋体" w:eastAsia="宋体" w:cs="宋体"/>
                <w:sz w:val="24"/>
                <w:szCs w:val="24"/>
              </w:rPr>
            </w:pPr>
          </w:p>
        </w:tc>
      </w:tr>
      <w:tr w14:paraId="6ABC7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9C8F7DC">
            <w:pPr>
              <w:spacing w:before="40" w:after="40"/>
              <w:jc w:val="center"/>
              <w:rPr>
                <w:rFonts w:ascii="宋体" w:hAnsi="宋体" w:eastAsia="宋体" w:cs="宋体"/>
                <w:sz w:val="24"/>
                <w:szCs w:val="24"/>
              </w:rPr>
            </w:pPr>
            <w:r>
              <w:rPr>
                <w:rFonts w:hint="eastAsia" w:ascii="宋体" w:hAnsi="宋体" w:eastAsia="宋体" w:cs="宋体"/>
                <w:color w:val="000000"/>
                <w:sz w:val="24"/>
                <w:szCs w:val="24"/>
              </w:rPr>
              <w:t>5</w:t>
            </w:r>
          </w:p>
        </w:tc>
        <w:tc>
          <w:tcPr>
            <w:tcW w:w="1413" w:type="dxa"/>
            <w:shd w:val="clear" w:color="auto" w:fill="FFFFFF"/>
            <w:vAlign w:val="center"/>
          </w:tcPr>
          <w:p w14:paraId="3A091114">
            <w:pPr>
              <w:spacing w:before="40" w:after="40"/>
              <w:jc w:val="left"/>
              <w:rPr>
                <w:rFonts w:ascii="宋体" w:hAnsi="宋体" w:eastAsia="宋体" w:cs="宋体"/>
                <w:sz w:val="24"/>
                <w:szCs w:val="24"/>
              </w:rPr>
            </w:pPr>
            <w:r>
              <w:rPr>
                <w:rFonts w:hint="eastAsia" w:ascii="宋体" w:hAnsi="宋体" w:eastAsia="宋体" w:cs="宋体"/>
                <w:color w:val="000000"/>
                <w:sz w:val="24"/>
                <w:szCs w:val="24"/>
              </w:rPr>
              <w:t>植物清理</w:t>
            </w:r>
          </w:p>
        </w:tc>
        <w:tc>
          <w:tcPr>
            <w:tcW w:w="4239" w:type="dxa"/>
            <w:shd w:val="clear" w:color="auto" w:fill="FFFFFF"/>
            <w:vAlign w:val="center"/>
          </w:tcPr>
          <w:p w14:paraId="06256F55">
            <w:pPr>
              <w:widowControl/>
              <w:jc w:val="left"/>
              <w:rPr>
                <w:rFonts w:ascii="宋体" w:hAnsi="宋体" w:eastAsia="宋体" w:cs="宋体"/>
                <w:sz w:val="24"/>
                <w:szCs w:val="24"/>
              </w:rPr>
            </w:pPr>
            <w:r>
              <w:rPr>
                <w:rFonts w:hint="eastAsia" w:ascii="宋体" w:hAnsi="宋体" w:eastAsia="宋体" w:cs="宋体"/>
                <w:color w:val="000000"/>
                <w:sz w:val="24"/>
                <w:szCs w:val="24"/>
                <w:lang w:bidi="ar"/>
              </w:rPr>
              <w:t>场地内杂草、杂树及废弃植物清理清运，范围约10㎡（1000cm长），含残枝落叶装袋外运及现场清扫。</w:t>
            </w:r>
          </w:p>
        </w:tc>
        <w:tc>
          <w:tcPr>
            <w:tcW w:w="756" w:type="dxa"/>
            <w:shd w:val="clear" w:color="auto" w:fill="FFFFFF"/>
            <w:vAlign w:val="center"/>
          </w:tcPr>
          <w:p w14:paraId="66DAA21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5DE0FE7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4F974533">
            <w:pPr>
              <w:spacing w:before="40" w:after="40"/>
              <w:jc w:val="left"/>
              <w:rPr>
                <w:rFonts w:ascii="宋体" w:hAnsi="宋体" w:eastAsia="宋体" w:cs="宋体"/>
                <w:sz w:val="24"/>
                <w:szCs w:val="24"/>
              </w:rPr>
            </w:pPr>
          </w:p>
        </w:tc>
      </w:tr>
      <w:tr w14:paraId="1790B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968" w:type="dxa"/>
            <w:gridSpan w:val="6"/>
            <w:shd w:val="clear" w:color="auto" w:fill="FFFFFF"/>
            <w:vAlign w:val="center"/>
          </w:tcPr>
          <w:p w14:paraId="1489B558">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rPr>
              <w:t>二、茶水休闲角</w:t>
            </w:r>
          </w:p>
        </w:tc>
      </w:tr>
      <w:tr w14:paraId="440AF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026D2C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6</w:t>
            </w:r>
          </w:p>
        </w:tc>
        <w:tc>
          <w:tcPr>
            <w:tcW w:w="1413" w:type="dxa"/>
            <w:shd w:val="clear" w:color="auto" w:fill="FFFFFF"/>
            <w:vAlign w:val="center"/>
          </w:tcPr>
          <w:p w14:paraId="02E1534A">
            <w:pPr>
              <w:spacing w:before="40" w:after="40"/>
              <w:jc w:val="left"/>
              <w:rPr>
                <w:rFonts w:ascii="宋体" w:hAnsi="宋体" w:eastAsia="宋体" w:cs="宋体"/>
                <w:sz w:val="24"/>
                <w:szCs w:val="24"/>
              </w:rPr>
            </w:pPr>
            <w:r>
              <w:rPr>
                <w:rFonts w:hint="eastAsia" w:ascii="宋体" w:hAnsi="宋体" w:eastAsia="宋体" w:cs="宋体"/>
                <w:color w:val="000000"/>
                <w:sz w:val="24"/>
                <w:szCs w:val="24"/>
              </w:rPr>
              <w:t>地面改造</w:t>
            </w:r>
          </w:p>
        </w:tc>
        <w:tc>
          <w:tcPr>
            <w:tcW w:w="4239" w:type="dxa"/>
            <w:shd w:val="clear" w:color="auto" w:fill="FFFFFF"/>
            <w:vAlign w:val="center"/>
          </w:tcPr>
          <w:p w14:paraId="766348ED">
            <w:pPr>
              <w:widowControl/>
              <w:jc w:val="left"/>
              <w:rPr>
                <w:rFonts w:ascii="宋体" w:hAnsi="宋体" w:eastAsia="宋体" w:cs="宋体"/>
                <w:sz w:val="24"/>
                <w:szCs w:val="24"/>
              </w:rPr>
            </w:pPr>
            <w:r>
              <w:rPr>
                <w:rFonts w:hint="eastAsia" w:ascii="宋体" w:hAnsi="宋体" w:eastAsia="宋体" w:cs="宋体"/>
                <w:color w:val="000000"/>
                <w:sz w:val="24"/>
                <w:szCs w:val="24"/>
                <w:lang w:bidi="ar"/>
              </w:rPr>
              <w:t>C20混凝土路面硬化，厚度12cm，路基弯角连接处理，面积约3.5㎡（350×100cm），含切割伸缩缝及表面拉毛处理。</w:t>
            </w:r>
          </w:p>
        </w:tc>
        <w:tc>
          <w:tcPr>
            <w:tcW w:w="756" w:type="dxa"/>
            <w:shd w:val="clear" w:color="auto" w:fill="FFFFFF"/>
            <w:vAlign w:val="center"/>
          </w:tcPr>
          <w:p w14:paraId="059EBEA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A5FD9B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4710D4CF">
            <w:pPr>
              <w:spacing w:before="40" w:after="40"/>
              <w:jc w:val="left"/>
              <w:rPr>
                <w:rFonts w:ascii="宋体" w:hAnsi="宋体" w:eastAsia="宋体" w:cs="宋体"/>
                <w:sz w:val="24"/>
                <w:szCs w:val="24"/>
              </w:rPr>
            </w:pPr>
          </w:p>
        </w:tc>
      </w:tr>
      <w:tr w14:paraId="3E0FF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01D8D0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7</w:t>
            </w:r>
          </w:p>
        </w:tc>
        <w:tc>
          <w:tcPr>
            <w:tcW w:w="1413" w:type="dxa"/>
            <w:shd w:val="clear" w:color="auto" w:fill="FFFFFF"/>
            <w:vAlign w:val="center"/>
          </w:tcPr>
          <w:p w14:paraId="08C959CA">
            <w:pPr>
              <w:spacing w:before="40" w:after="40"/>
              <w:jc w:val="left"/>
              <w:rPr>
                <w:rFonts w:ascii="宋体" w:hAnsi="宋体" w:eastAsia="宋体" w:cs="宋体"/>
                <w:sz w:val="24"/>
                <w:szCs w:val="24"/>
              </w:rPr>
            </w:pPr>
            <w:r>
              <w:rPr>
                <w:rFonts w:hint="eastAsia" w:ascii="宋体" w:hAnsi="宋体" w:eastAsia="宋体" w:cs="宋体"/>
                <w:color w:val="000000"/>
                <w:sz w:val="24"/>
                <w:szCs w:val="24"/>
              </w:rPr>
              <w:t>户外木塑地板</w:t>
            </w:r>
          </w:p>
        </w:tc>
        <w:tc>
          <w:tcPr>
            <w:tcW w:w="4239" w:type="dxa"/>
            <w:shd w:val="clear" w:color="auto" w:fill="FFFFFF"/>
            <w:vAlign w:val="center"/>
          </w:tcPr>
          <w:p w14:paraId="29B71CCB">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户外木塑地板铺装，面积约15.5㎡（370×420cm），采用140×25mm共挤木塑地板，配镀锌钢龙骨（间距400mm），含膨胀螺丝固定及收边条处理。</w:t>
            </w:r>
          </w:p>
        </w:tc>
        <w:tc>
          <w:tcPr>
            <w:tcW w:w="756" w:type="dxa"/>
            <w:shd w:val="clear" w:color="auto" w:fill="FFFFFF"/>
            <w:vAlign w:val="center"/>
          </w:tcPr>
          <w:p w14:paraId="34ACF18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3D261EA">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7FCCE18A">
            <w:pPr>
              <w:spacing w:before="40" w:after="40"/>
              <w:jc w:val="left"/>
              <w:rPr>
                <w:rFonts w:ascii="宋体" w:hAnsi="宋体" w:eastAsia="宋体" w:cs="宋体"/>
                <w:sz w:val="24"/>
                <w:szCs w:val="24"/>
              </w:rPr>
            </w:pPr>
          </w:p>
        </w:tc>
      </w:tr>
      <w:tr w14:paraId="62977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65FAD2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8</w:t>
            </w:r>
          </w:p>
        </w:tc>
        <w:tc>
          <w:tcPr>
            <w:tcW w:w="1413" w:type="dxa"/>
            <w:shd w:val="clear" w:color="auto" w:fill="FFFFFF"/>
            <w:vAlign w:val="center"/>
          </w:tcPr>
          <w:p w14:paraId="1E08B711">
            <w:pPr>
              <w:spacing w:before="40" w:after="40"/>
              <w:jc w:val="left"/>
              <w:rPr>
                <w:rFonts w:ascii="宋体" w:hAnsi="宋体" w:eastAsia="宋体" w:cs="宋体"/>
                <w:sz w:val="24"/>
                <w:szCs w:val="24"/>
              </w:rPr>
            </w:pPr>
            <w:r>
              <w:rPr>
                <w:rFonts w:hint="eastAsia" w:ascii="宋体" w:hAnsi="宋体" w:eastAsia="宋体" w:cs="宋体"/>
                <w:sz w:val="24"/>
                <w:szCs w:val="24"/>
              </w:rPr>
              <w:t>防护栏</w:t>
            </w:r>
          </w:p>
        </w:tc>
        <w:tc>
          <w:tcPr>
            <w:tcW w:w="4239" w:type="dxa"/>
            <w:shd w:val="clear" w:color="auto" w:fill="FFFFFF"/>
            <w:vAlign w:val="center"/>
          </w:tcPr>
          <w:p w14:paraId="74764310">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防护栏制作安装，总长度约15m、高度0.4m，采用2.1吋（外径约60mm）镀锌水管焊接成型，表面喷塑防锈处理（颜色由采购人确认），含立柱预埋固定。</w:t>
            </w:r>
          </w:p>
        </w:tc>
        <w:tc>
          <w:tcPr>
            <w:tcW w:w="756" w:type="dxa"/>
            <w:shd w:val="clear" w:color="auto" w:fill="FFFFFF"/>
            <w:vAlign w:val="center"/>
          </w:tcPr>
          <w:p w14:paraId="31ABF2E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283703B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E03E57C">
            <w:pPr>
              <w:spacing w:before="40" w:after="40"/>
              <w:jc w:val="left"/>
              <w:rPr>
                <w:rFonts w:ascii="宋体" w:hAnsi="宋体" w:eastAsia="宋体" w:cs="宋体"/>
                <w:sz w:val="24"/>
                <w:szCs w:val="24"/>
              </w:rPr>
            </w:pPr>
          </w:p>
        </w:tc>
      </w:tr>
      <w:tr w14:paraId="5302C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2F7F5B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9</w:t>
            </w:r>
          </w:p>
        </w:tc>
        <w:tc>
          <w:tcPr>
            <w:tcW w:w="1413" w:type="dxa"/>
            <w:shd w:val="clear" w:color="auto" w:fill="FFFFFF"/>
            <w:vAlign w:val="center"/>
          </w:tcPr>
          <w:p w14:paraId="2749DE66">
            <w:pPr>
              <w:spacing w:before="40" w:after="40"/>
              <w:jc w:val="left"/>
              <w:rPr>
                <w:rFonts w:ascii="宋体" w:hAnsi="宋体" w:eastAsia="宋体" w:cs="宋体"/>
                <w:sz w:val="24"/>
                <w:szCs w:val="24"/>
              </w:rPr>
            </w:pPr>
            <w:r>
              <w:rPr>
                <w:rFonts w:hint="eastAsia" w:ascii="宋体" w:hAnsi="宋体" w:eastAsia="宋体" w:cs="宋体"/>
                <w:color w:val="000000"/>
                <w:sz w:val="24"/>
                <w:szCs w:val="24"/>
              </w:rPr>
              <w:t>遮阳雨伞</w:t>
            </w:r>
          </w:p>
        </w:tc>
        <w:tc>
          <w:tcPr>
            <w:tcW w:w="4239" w:type="dxa"/>
            <w:shd w:val="clear" w:color="auto" w:fill="FFFFFF"/>
            <w:vAlign w:val="center"/>
          </w:tcPr>
          <w:p w14:paraId="30690448">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户外加重遮阳伞，伞面尺寸300×300cm，加厚牛津布伞面（防紫外线、防水），铝合金伞骨，配25kg大理石加重底座，手动折叠款。</w:t>
            </w:r>
          </w:p>
        </w:tc>
        <w:tc>
          <w:tcPr>
            <w:tcW w:w="756" w:type="dxa"/>
            <w:shd w:val="clear" w:color="auto" w:fill="FFFFFF"/>
            <w:vAlign w:val="center"/>
          </w:tcPr>
          <w:p w14:paraId="21CBA00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把</w:t>
            </w:r>
          </w:p>
        </w:tc>
        <w:tc>
          <w:tcPr>
            <w:tcW w:w="1157" w:type="dxa"/>
            <w:shd w:val="clear" w:color="auto" w:fill="FFFFFF"/>
            <w:vAlign w:val="center"/>
          </w:tcPr>
          <w:p w14:paraId="4229712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D99A07C">
            <w:pPr>
              <w:spacing w:before="40" w:after="40"/>
              <w:jc w:val="left"/>
              <w:rPr>
                <w:rFonts w:ascii="宋体" w:hAnsi="宋体" w:eastAsia="宋体" w:cs="宋体"/>
                <w:sz w:val="24"/>
                <w:szCs w:val="24"/>
              </w:rPr>
            </w:pPr>
          </w:p>
        </w:tc>
      </w:tr>
      <w:tr w14:paraId="58DB4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529490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10</w:t>
            </w:r>
          </w:p>
        </w:tc>
        <w:tc>
          <w:tcPr>
            <w:tcW w:w="1413" w:type="dxa"/>
            <w:shd w:val="clear" w:color="auto" w:fill="FFFFFF"/>
            <w:vAlign w:val="center"/>
          </w:tcPr>
          <w:p w14:paraId="143C319D">
            <w:pPr>
              <w:spacing w:before="40" w:after="40"/>
              <w:jc w:val="left"/>
              <w:rPr>
                <w:rFonts w:ascii="宋体" w:hAnsi="宋体" w:eastAsia="宋体" w:cs="宋体"/>
                <w:sz w:val="24"/>
                <w:szCs w:val="24"/>
              </w:rPr>
            </w:pPr>
            <w:r>
              <w:rPr>
                <w:rFonts w:hint="eastAsia" w:ascii="宋体" w:hAnsi="宋体" w:eastAsia="宋体" w:cs="宋体"/>
                <w:color w:val="000000"/>
                <w:sz w:val="24"/>
                <w:szCs w:val="24"/>
              </w:rPr>
              <w:t>直饮水机</w:t>
            </w:r>
          </w:p>
        </w:tc>
        <w:tc>
          <w:tcPr>
            <w:tcW w:w="4239" w:type="dxa"/>
            <w:shd w:val="clear" w:color="auto" w:fill="FFFFFF"/>
            <w:vAlign w:val="center"/>
          </w:tcPr>
          <w:p w14:paraId="0BBC058D">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商用户外直饮水机，含三级过滤（PP棉+活性炭+RO反渗透），不锈钢机身（304不锈钢），冷热双温出水，含进水、排水、电源接驳及安装调试。</w:t>
            </w:r>
          </w:p>
        </w:tc>
        <w:tc>
          <w:tcPr>
            <w:tcW w:w="756" w:type="dxa"/>
            <w:shd w:val="clear" w:color="auto" w:fill="FFFFFF"/>
            <w:vAlign w:val="center"/>
          </w:tcPr>
          <w:p w14:paraId="5F38E45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194B738E">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20556CF6">
            <w:pPr>
              <w:spacing w:before="40" w:after="40"/>
              <w:jc w:val="left"/>
              <w:rPr>
                <w:rFonts w:ascii="宋体" w:hAnsi="宋体" w:eastAsia="宋体" w:cs="宋体"/>
                <w:sz w:val="24"/>
                <w:szCs w:val="24"/>
              </w:rPr>
            </w:pPr>
            <w:r>
              <w:drawing>
                <wp:inline distT="0" distB="0" distL="114300" distR="114300">
                  <wp:extent cx="1053465" cy="842010"/>
                  <wp:effectExtent l="0" t="0" r="13335" b="1524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4"/>
                          <a:stretch>
                            <a:fillRect/>
                          </a:stretch>
                        </pic:blipFill>
                        <pic:spPr>
                          <a:xfrm>
                            <a:off x="0" y="0"/>
                            <a:ext cx="1053465" cy="842010"/>
                          </a:xfrm>
                          <a:prstGeom prst="rect">
                            <a:avLst/>
                          </a:prstGeom>
                          <a:noFill/>
                          <a:ln>
                            <a:noFill/>
                          </a:ln>
                        </pic:spPr>
                      </pic:pic>
                    </a:graphicData>
                  </a:graphic>
                </wp:inline>
              </w:drawing>
            </w:r>
          </w:p>
        </w:tc>
      </w:tr>
      <w:tr w14:paraId="64041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F0692B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11</w:t>
            </w:r>
          </w:p>
        </w:tc>
        <w:tc>
          <w:tcPr>
            <w:tcW w:w="1413" w:type="dxa"/>
            <w:shd w:val="clear" w:color="auto" w:fill="FFFFFF"/>
            <w:vAlign w:val="center"/>
          </w:tcPr>
          <w:p w14:paraId="287D91D9">
            <w:pPr>
              <w:spacing w:before="40" w:after="40"/>
              <w:jc w:val="left"/>
              <w:rPr>
                <w:rFonts w:ascii="宋体" w:hAnsi="宋体" w:eastAsia="宋体" w:cs="宋体"/>
                <w:sz w:val="24"/>
                <w:szCs w:val="24"/>
              </w:rPr>
            </w:pPr>
            <w:r>
              <w:rPr>
                <w:rFonts w:hint="eastAsia" w:ascii="宋体" w:hAnsi="宋体" w:eastAsia="宋体" w:cs="宋体"/>
                <w:color w:val="000000"/>
                <w:sz w:val="24"/>
                <w:szCs w:val="24"/>
              </w:rPr>
              <w:t>洗手盆</w:t>
            </w:r>
          </w:p>
        </w:tc>
        <w:tc>
          <w:tcPr>
            <w:tcW w:w="4239" w:type="dxa"/>
            <w:shd w:val="clear" w:color="auto" w:fill="FFFFFF"/>
            <w:vAlign w:val="center"/>
          </w:tcPr>
          <w:p w14:paraId="5887039D">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户外不锈钢洗手盆，304不锈钢材质（厚度1.0mm），含冷热水龙头、角阀、给排水管道连接及墙挂固定安装。</w:t>
            </w:r>
          </w:p>
        </w:tc>
        <w:tc>
          <w:tcPr>
            <w:tcW w:w="756" w:type="dxa"/>
            <w:shd w:val="clear" w:color="auto" w:fill="FFFFFF"/>
            <w:vAlign w:val="center"/>
          </w:tcPr>
          <w:p w14:paraId="43B7EA7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690ED495">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703CEADA">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定制</w:t>
            </w:r>
          </w:p>
        </w:tc>
      </w:tr>
      <w:tr w14:paraId="65B0A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ABE880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12</w:t>
            </w:r>
          </w:p>
        </w:tc>
        <w:tc>
          <w:tcPr>
            <w:tcW w:w="1413" w:type="dxa"/>
            <w:shd w:val="clear" w:color="auto" w:fill="FFFFFF"/>
            <w:vAlign w:val="center"/>
          </w:tcPr>
          <w:p w14:paraId="79C69BB4">
            <w:pPr>
              <w:spacing w:before="40" w:after="40"/>
              <w:jc w:val="left"/>
              <w:rPr>
                <w:rFonts w:ascii="宋体" w:hAnsi="宋体" w:eastAsia="宋体" w:cs="宋体"/>
                <w:sz w:val="24"/>
                <w:szCs w:val="24"/>
              </w:rPr>
            </w:pPr>
            <w:r>
              <w:rPr>
                <w:rFonts w:hint="eastAsia" w:ascii="宋体" w:hAnsi="宋体" w:eastAsia="宋体" w:cs="宋体"/>
                <w:color w:val="000000"/>
                <w:sz w:val="24"/>
                <w:szCs w:val="24"/>
              </w:rPr>
              <w:t>户外桌凳</w:t>
            </w:r>
          </w:p>
        </w:tc>
        <w:tc>
          <w:tcPr>
            <w:tcW w:w="4239" w:type="dxa"/>
            <w:shd w:val="clear" w:color="auto" w:fill="FFFFFF"/>
            <w:vAlign w:val="center"/>
          </w:tcPr>
          <w:p w14:paraId="57A55C1F">
            <w:pPr>
              <w:widowControl/>
              <w:jc w:val="left"/>
              <w:rPr>
                <w:rFonts w:ascii="宋体" w:hAnsi="宋体" w:eastAsia="宋体" w:cs="宋体"/>
                <w:sz w:val="24"/>
                <w:szCs w:val="24"/>
              </w:rPr>
            </w:pPr>
            <w:r>
              <w:rPr>
                <w:rFonts w:hint="eastAsia" w:ascii="宋体" w:hAnsi="宋体" w:eastAsia="宋体" w:cs="宋体"/>
                <w:sz w:val="24"/>
                <w:szCs w:val="24"/>
                <w:lang w:bidi="ar"/>
              </w:rPr>
              <w:t>户外休闲桌椅1套，含1张圆桌（直径60cm，木塑台面+钢支架）+ 2条长条凳子（每条做2人）（木塑座面+不锈钢框架），表面做防锈耐候处理。</w:t>
            </w:r>
          </w:p>
        </w:tc>
        <w:tc>
          <w:tcPr>
            <w:tcW w:w="756" w:type="dxa"/>
            <w:shd w:val="clear" w:color="auto" w:fill="FFFFFF"/>
            <w:vAlign w:val="center"/>
          </w:tcPr>
          <w:p w14:paraId="4F72608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76198D7C">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B8219AE">
            <w:pPr>
              <w:spacing w:before="40" w:after="40"/>
              <w:jc w:val="left"/>
              <w:rPr>
                <w:rFonts w:ascii="宋体" w:hAnsi="宋体" w:eastAsia="宋体" w:cs="宋体"/>
                <w:sz w:val="24"/>
                <w:szCs w:val="24"/>
              </w:rPr>
            </w:pPr>
            <w:r>
              <w:rPr>
                <w:rFonts w:hint="eastAsia" w:ascii="宋体" w:hAnsi="宋体" w:eastAsia="宋体" w:cs="宋体"/>
                <w:sz w:val="24"/>
                <w:szCs w:val="24"/>
              </w:rPr>
              <w:drawing>
                <wp:inline distT="0" distB="0" distL="114300" distR="114300">
                  <wp:extent cx="1065530" cy="643255"/>
                  <wp:effectExtent l="0" t="0" r="1270" b="4445"/>
                  <wp:docPr id="13" name="图片 13" descr="3bdaeeb874d8134c6601905847b80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bdaeeb874d8134c6601905847b80899"/>
                          <pic:cNvPicPr>
                            <a:picLocks noChangeAspect="1"/>
                          </pic:cNvPicPr>
                        </pic:nvPicPr>
                        <pic:blipFill>
                          <a:blip r:embed="rId5"/>
                          <a:stretch>
                            <a:fillRect/>
                          </a:stretch>
                        </pic:blipFill>
                        <pic:spPr>
                          <a:xfrm>
                            <a:off x="0" y="0"/>
                            <a:ext cx="1065530" cy="643255"/>
                          </a:xfrm>
                          <a:prstGeom prst="rect">
                            <a:avLst/>
                          </a:prstGeom>
                        </pic:spPr>
                      </pic:pic>
                    </a:graphicData>
                  </a:graphic>
                </wp:inline>
              </w:drawing>
            </w:r>
          </w:p>
        </w:tc>
      </w:tr>
      <w:tr w14:paraId="79B36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EB77203">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13</w:t>
            </w:r>
          </w:p>
        </w:tc>
        <w:tc>
          <w:tcPr>
            <w:tcW w:w="1413" w:type="dxa"/>
            <w:shd w:val="clear" w:color="auto" w:fill="FFFFFF"/>
            <w:vAlign w:val="center"/>
          </w:tcPr>
          <w:p w14:paraId="252DCF6B">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rPr>
              <w:t>种花和花槽</w:t>
            </w:r>
          </w:p>
        </w:tc>
        <w:tc>
          <w:tcPr>
            <w:tcW w:w="4239" w:type="dxa"/>
            <w:shd w:val="clear" w:color="auto" w:fill="FFFFFF"/>
            <w:vAlign w:val="center"/>
          </w:tcPr>
          <w:p w14:paraId="603B15BC">
            <w:pPr>
              <w:widowControl/>
              <w:spacing w:before="40" w:after="40"/>
              <w:jc w:val="left"/>
              <w:rPr>
                <w:rFonts w:ascii="宋体" w:hAnsi="宋体" w:eastAsia="宋体" w:cs="宋体"/>
                <w:sz w:val="24"/>
                <w:szCs w:val="24"/>
                <w:lang w:bidi="ar"/>
              </w:rPr>
            </w:pPr>
            <w:r>
              <w:rPr>
                <w:rFonts w:hint="eastAsia" w:ascii="宋体" w:hAnsi="宋体" w:eastAsia="宋体" w:cs="宋体"/>
                <w:color w:val="000000"/>
                <w:sz w:val="24"/>
                <w:szCs w:val="24"/>
                <w:lang w:bidi="ar"/>
              </w:rPr>
              <w:t>花槽2米及花卉种植，花槽采用玻璃钢/混凝土材质，长度按现场定，种植矮牵牛/孔雀草等时令花卉，苗高120-160cm（按植物规格调整），含种植土、基肥及养护。</w:t>
            </w:r>
          </w:p>
        </w:tc>
        <w:tc>
          <w:tcPr>
            <w:tcW w:w="756" w:type="dxa"/>
            <w:shd w:val="clear" w:color="auto" w:fill="FFFFFF"/>
            <w:vAlign w:val="center"/>
          </w:tcPr>
          <w:p w14:paraId="4870190D">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7DB21554">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7E56185D">
            <w:pPr>
              <w:spacing w:before="40" w:after="40"/>
              <w:jc w:val="left"/>
              <w:rPr>
                <w:rFonts w:ascii="宋体" w:hAnsi="宋体" w:eastAsia="宋体" w:cs="宋体"/>
                <w:sz w:val="24"/>
                <w:szCs w:val="24"/>
              </w:rPr>
            </w:pPr>
          </w:p>
        </w:tc>
      </w:tr>
      <w:tr w14:paraId="08BD4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968" w:type="dxa"/>
            <w:gridSpan w:val="6"/>
            <w:shd w:val="clear" w:color="auto" w:fill="FFFFFF"/>
            <w:vAlign w:val="center"/>
          </w:tcPr>
          <w:p w14:paraId="79FB4231">
            <w:pPr>
              <w:spacing w:before="40" w:after="40"/>
              <w:jc w:val="left"/>
              <w:rPr>
                <w:rFonts w:ascii="宋体" w:hAnsi="宋体" w:eastAsia="宋体" w:cs="宋体"/>
                <w:sz w:val="24"/>
                <w:szCs w:val="24"/>
              </w:rPr>
            </w:pPr>
            <w:r>
              <w:rPr>
                <w:rFonts w:hint="eastAsia" w:ascii="宋体" w:hAnsi="宋体" w:eastAsia="宋体" w:cs="宋体"/>
                <w:sz w:val="24"/>
                <w:szCs w:val="24"/>
              </w:rPr>
              <w:t>三、科技成果展厅</w:t>
            </w:r>
          </w:p>
        </w:tc>
      </w:tr>
      <w:tr w14:paraId="42F47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F6C529A">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14</w:t>
            </w:r>
          </w:p>
        </w:tc>
        <w:tc>
          <w:tcPr>
            <w:tcW w:w="1413" w:type="dxa"/>
            <w:shd w:val="clear" w:color="auto" w:fill="FFFFFF"/>
            <w:vAlign w:val="center"/>
          </w:tcPr>
          <w:p w14:paraId="07CA4A2F">
            <w:pPr>
              <w:spacing w:before="40" w:after="40"/>
              <w:jc w:val="left"/>
              <w:rPr>
                <w:rFonts w:ascii="宋体" w:hAnsi="宋体" w:eastAsia="宋体" w:cs="宋体"/>
                <w:sz w:val="24"/>
                <w:szCs w:val="24"/>
              </w:rPr>
            </w:pPr>
            <w:r>
              <w:rPr>
                <w:rFonts w:hint="eastAsia" w:ascii="宋体" w:hAnsi="宋体" w:eastAsia="宋体" w:cs="宋体"/>
                <w:color w:val="000000"/>
                <w:sz w:val="24"/>
                <w:szCs w:val="24"/>
              </w:rPr>
              <w:t>荣誉墙</w:t>
            </w:r>
          </w:p>
        </w:tc>
        <w:tc>
          <w:tcPr>
            <w:tcW w:w="4239" w:type="dxa"/>
            <w:shd w:val="clear" w:color="auto" w:fill="FFFFFF"/>
            <w:vAlign w:val="center"/>
          </w:tcPr>
          <w:p w14:paraId="0CC20AD0">
            <w:pPr>
              <w:widowControl/>
              <w:jc w:val="left"/>
            </w:pPr>
            <w:r>
              <w:rPr>
                <w:rFonts w:ascii="宋体" w:hAnsi="宋体" w:eastAsia="宋体" w:cs="宋体"/>
                <w:kern w:val="0"/>
                <w:sz w:val="24"/>
                <w:szCs w:val="24"/>
                <w:lang w:bidi="ar"/>
              </w:rPr>
              <w:t>荣誉墙设计制作，含：</w:t>
            </w:r>
          </w:p>
          <w:p w14:paraId="0AC9D35A">
            <w:pPr>
              <w:widowControl/>
              <w:jc w:val="left"/>
            </w:pPr>
            <w:r>
              <w:rPr>
                <w:rFonts w:ascii="宋体" w:hAnsi="宋体" w:eastAsia="宋体" w:cs="宋体"/>
                <w:kern w:val="0"/>
                <w:sz w:val="24"/>
                <w:szCs w:val="24"/>
                <w:lang w:bidi="ar"/>
              </w:rPr>
              <w:t>①标题字：亚克力背发光字（白色LED）；</w:t>
            </w:r>
          </w:p>
          <w:p w14:paraId="08CC81F1">
            <w:pPr>
              <w:widowControl/>
              <w:jc w:val="left"/>
            </w:pPr>
            <w:r>
              <w:rPr>
                <w:rFonts w:ascii="宋体" w:hAnsi="宋体" w:eastAsia="宋体" w:cs="宋体"/>
                <w:kern w:val="0"/>
                <w:sz w:val="24"/>
                <w:szCs w:val="24"/>
                <w:lang w:bidi="ar"/>
              </w:rPr>
              <w:t>②地柜：白色环保板结构，尺寸300×90×40cm，配层板2层；</w:t>
            </w:r>
          </w:p>
          <w:p w14:paraId="7D78AC89">
            <w:pPr>
              <w:widowControl/>
              <w:numPr>
                <w:ilvl w:val="255"/>
                <w:numId w:val="0"/>
              </w:numPr>
              <w:jc w:val="left"/>
              <w:rPr>
                <w:rFonts w:ascii="宋体" w:hAnsi="宋体" w:eastAsia="宋体" w:cs="宋体"/>
                <w:sz w:val="24"/>
                <w:szCs w:val="24"/>
              </w:rPr>
            </w:pPr>
            <w:r>
              <w:rPr>
                <w:rFonts w:ascii="宋体" w:hAnsi="宋体" w:eastAsia="宋体" w:cs="宋体"/>
                <w:kern w:val="0"/>
                <w:sz w:val="24"/>
                <w:szCs w:val="24"/>
                <w:lang w:bidi="ar"/>
              </w:rPr>
              <w:t>③配套LED灯带照明及电源接线</w:t>
            </w:r>
          </w:p>
        </w:tc>
        <w:tc>
          <w:tcPr>
            <w:tcW w:w="756" w:type="dxa"/>
            <w:shd w:val="clear" w:color="auto" w:fill="FFFFFF"/>
            <w:vAlign w:val="center"/>
          </w:tcPr>
          <w:p w14:paraId="5532CF4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582DD36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20D30CEB">
            <w:pPr>
              <w:spacing w:before="40" w:after="40"/>
              <w:jc w:val="left"/>
              <w:rPr>
                <w:rFonts w:ascii="宋体" w:hAnsi="宋体" w:eastAsia="宋体" w:cs="宋体"/>
                <w:sz w:val="24"/>
                <w:szCs w:val="24"/>
              </w:rPr>
            </w:pPr>
          </w:p>
        </w:tc>
      </w:tr>
      <w:tr w14:paraId="0F2EB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9CF9EE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15</w:t>
            </w:r>
          </w:p>
        </w:tc>
        <w:tc>
          <w:tcPr>
            <w:tcW w:w="1413" w:type="dxa"/>
            <w:shd w:val="clear" w:color="auto" w:fill="FFFFFF"/>
            <w:vAlign w:val="center"/>
          </w:tcPr>
          <w:p w14:paraId="6A56BB21">
            <w:pPr>
              <w:spacing w:before="40" w:after="40"/>
              <w:jc w:val="left"/>
              <w:rPr>
                <w:rFonts w:ascii="宋体" w:hAnsi="宋体" w:eastAsia="宋体" w:cs="宋体"/>
                <w:sz w:val="24"/>
                <w:szCs w:val="24"/>
              </w:rPr>
            </w:pPr>
            <w:r>
              <w:rPr>
                <w:rFonts w:hint="eastAsia" w:ascii="宋体" w:hAnsi="宋体" w:eastAsia="宋体" w:cs="宋体"/>
                <w:color w:val="000000"/>
                <w:sz w:val="24"/>
                <w:szCs w:val="24"/>
              </w:rPr>
              <w:t>专利墙面</w:t>
            </w:r>
          </w:p>
        </w:tc>
        <w:tc>
          <w:tcPr>
            <w:tcW w:w="4239" w:type="dxa"/>
            <w:shd w:val="clear" w:color="auto" w:fill="FFFFFF"/>
            <w:vAlign w:val="center"/>
          </w:tcPr>
          <w:p w14:paraId="018EF605">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专利展示墙，墙面尺寸360×200cm，8*5，40张专利展示：</w:t>
            </w:r>
          </w:p>
          <w:p w14:paraId="66AC01EF">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①标题：铝塑板底+背发光字；</w:t>
            </w:r>
          </w:p>
          <w:p w14:paraId="7D348659">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②展示区：5mm透明亚克力夹画展板（专利证书装裱），含不锈钢挂条。</w:t>
            </w:r>
          </w:p>
        </w:tc>
        <w:tc>
          <w:tcPr>
            <w:tcW w:w="756" w:type="dxa"/>
            <w:shd w:val="clear" w:color="auto" w:fill="FFFFFF"/>
            <w:vAlign w:val="center"/>
          </w:tcPr>
          <w:p w14:paraId="457ADEB5">
            <w:pPr>
              <w:widowControl/>
              <w:spacing w:before="40" w:after="40"/>
              <w:ind w:firstLine="240" w:firstLineChars="10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项</w:t>
            </w:r>
          </w:p>
        </w:tc>
        <w:tc>
          <w:tcPr>
            <w:tcW w:w="1157" w:type="dxa"/>
            <w:shd w:val="clear" w:color="auto" w:fill="FFFFFF"/>
            <w:vAlign w:val="center"/>
          </w:tcPr>
          <w:p w14:paraId="0AF46AF6">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1675" w:type="dxa"/>
            <w:shd w:val="clear" w:color="auto" w:fill="FFFFFF"/>
            <w:vAlign w:val="center"/>
          </w:tcPr>
          <w:p w14:paraId="025F8EF4">
            <w:pPr>
              <w:spacing w:before="40" w:after="40"/>
              <w:jc w:val="left"/>
              <w:rPr>
                <w:rFonts w:ascii="宋体" w:hAnsi="宋体" w:eastAsia="宋体" w:cs="宋体"/>
                <w:sz w:val="24"/>
                <w:szCs w:val="24"/>
              </w:rPr>
            </w:pPr>
            <w:r>
              <w:drawing>
                <wp:inline distT="0" distB="0" distL="114300" distR="114300">
                  <wp:extent cx="1210310" cy="875030"/>
                  <wp:effectExtent l="0" t="0" r="8890" b="127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6"/>
                          <a:stretch>
                            <a:fillRect/>
                          </a:stretch>
                        </pic:blipFill>
                        <pic:spPr>
                          <a:xfrm>
                            <a:off x="0" y="0"/>
                            <a:ext cx="1210310" cy="875030"/>
                          </a:xfrm>
                          <a:prstGeom prst="rect">
                            <a:avLst/>
                          </a:prstGeom>
                          <a:noFill/>
                          <a:ln>
                            <a:noFill/>
                          </a:ln>
                        </pic:spPr>
                      </pic:pic>
                    </a:graphicData>
                  </a:graphic>
                </wp:inline>
              </w:drawing>
            </w:r>
          </w:p>
        </w:tc>
      </w:tr>
      <w:tr w14:paraId="0E888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EF6084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16</w:t>
            </w:r>
          </w:p>
        </w:tc>
        <w:tc>
          <w:tcPr>
            <w:tcW w:w="1413" w:type="dxa"/>
            <w:shd w:val="clear" w:color="auto" w:fill="FFFFFF"/>
            <w:vAlign w:val="center"/>
          </w:tcPr>
          <w:p w14:paraId="61E0B995">
            <w:pPr>
              <w:spacing w:before="40" w:after="40"/>
              <w:jc w:val="left"/>
              <w:rPr>
                <w:rFonts w:ascii="宋体" w:hAnsi="宋体" w:eastAsia="宋体" w:cs="宋体"/>
                <w:sz w:val="24"/>
                <w:szCs w:val="24"/>
              </w:rPr>
            </w:pPr>
            <w:r>
              <w:rPr>
                <w:rFonts w:hint="eastAsia" w:ascii="宋体" w:hAnsi="宋体" w:eastAsia="宋体" w:cs="宋体"/>
                <w:color w:val="000000"/>
                <w:sz w:val="24"/>
                <w:szCs w:val="24"/>
              </w:rPr>
              <w:t>科创技改墙面</w:t>
            </w:r>
          </w:p>
        </w:tc>
        <w:tc>
          <w:tcPr>
            <w:tcW w:w="4239" w:type="dxa"/>
            <w:shd w:val="clear" w:color="auto" w:fill="FFFFFF"/>
            <w:vAlign w:val="center"/>
          </w:tcPr>
          <w:p w14:paraId="2E41CFE8">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科创技改展示墙，墙面尺寸240×200cm，采用10mm厚PVC板雕刻造型，表面覆高清写真水凝膜，含图文排版设计及安装。</w:t>
            </w:r>
          </w:p>
        </w:tc>
        <w:tc>
          <w:tcPr>
            <w:tcW w:w="756" w:type="dxa"/>
            <w:shd w:val="clear" w:color="auto" w:fill="FFFFFF"/>
            <w:vAlign w:val="center"/>
          </w:tcPr>
          <w:p w14:paraId="30A9FB4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65FCC11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52D9D1B1">
            <w:pPr>
              <w:spacing w:before="40" w:after="40"/>
              <w:jc w:val="left"/>
              <w:rPr>
                <w:rFonts w:ascii="宋体" w:hAnsi="宋体" w:eastAsia="宋体" w:cs="宋体"/>
                <w:sz w:val="24"/>
                <w:szCs w:val="24"/>
              </w:rPr>
            </w:pPr>
          </w:p>
        </w:tc>
      </w:tr>
      <w:tr w14:paraId="06ECF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FD48A0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17</w:t>
            </w:r>
          </w:p>
        </w:tc>
        <w:tc>
          <w:tcPr>
            <w:tcW w:w="1413" w:type="dxa"/>
            <w:shd w:val="clear" w:color="auto" w:fill="FFFFFF"/>
            <w:vAlign w:val="center"/>
          </w:tcPr>
          <w:p w14:paraId="5280B20E">
            <w:pPr>
              <w:spacing w:before="40" w:after="40"/>
              <w:jc w:val="left"/>
              <w:rPr>
                <w:rFonts w:ascii="宋体" w:hAnsi="宋体" w:eastAsia="宋体" w:cs="宋体"/>
                <w:sz w:val="24"/>
                <w:szCs w:val="24"/>
              </w:rPr>
            </w:pPr>
            <w:r>
              <w:rPr>
                <w:rFonts w:hint="eastAsia" w:ascii="宋体" w:hAnsi="宋体" w:eastAsia="宋体" w:cs="宋体"/>
                <w:color w:val="000000"/>
                <w:sz w:val="24"/>
                <w:szCs w:val="24"/>
              </w:rPr>
              <w:t>获奖作品墙面</w:t>
            </w:r>
          </w:p>
        </w:tc>
        <w:tc>
          <w:tcPr>
            <w:tcW w:w="4239" w:type="dxa"/>
            <w:shd w:val="clear" w:color="auto" w:fill="FFFFFF"/>
            <w:vAlign w:val="center"/>
          </w:tcPr>
          <w:p w14:paraId="01559F1E">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获奖作品展示墙，墙面尺寸240×200cm，</w:t>
            </w:r>
          </w:p>
          <w:p w14:paraId="28393458">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①10mm PVC雕刻造型底板；</w:t>
            </w:r>
          </w:p>
          <w:p w14:paraId="2CFEE918">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②金属造型边框；</w:t>
            </w:r>
          </w:p>
          <w:p w14:paraId="03CE7B25">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③内嵌21寸平板显示屏10个（循环播放获奖作品视频）。</w:t>
            </w:r>
          </w:p>
        </w:tc>
        <w:tc>
          <w:tcPr>
            <w:tcW w:w="756" w:type="dxa"/>
            <w:shd w:val="clear" w:color="auto" w:fill="FFFFFF"/>
            <w:vAlign w:val="center"/>
          </w:tcPr>
          <w:p w14:paraId="7095AE41">
            <w:pPr>
              <w:widowControl/>
              <w:spacing w:before="40" w:after="40"/>
              <w:ind w:firstLine="240" w:firstLineChars="10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项</w:t>
            </w:r>
          </w:p>
        </w:tc>
        <w:tc>
          <w:tcPr>
            <w:tcW w:w="1157" w:type="dxa"/>
            <w:shd w:val="clear" w:color="auto" w:fill="FFFFFF"/>
            <w:vAlign w:val="center"/>
          </w:tcPr>
          <w:p w14:paraId="0166776A">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1675" w:type="dxa"/>
            <w:shd w:val="clear" w:color="auto" w:fill="FFFFFF"/>
            <w:vAlign w:val="center"/>
          </w:tcPr>
          <w:p w14:paraId="73E0AC39">
            <w:pPr>
              <w:spacing w:before="40" w:after="40"/>
              <w:jc w:val="center"/>
              <w:rPr>
                <w:rFonts w:ascii="宋体" w:hAnsi="宋体" w:eastAsia="宋体" w:cs="宋体"/>
                <w:sz w:val="24"/>
                <w:szCs w:val="24"/>
              </w:rPr>
            </w:pPr>
            <w:r>
              <w:drawing>
                <wp:inline distT="0" distB="0" distL="114300" distR="114300">
                  <wp:extent cx="856615" cy="880110"/>
                  <wp:effectExtent l="0" t="0" r="635" b="15240"/>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7"/>
                          <a:srcRect t="7987"/>
                          <a:stretch>
                            <a:fillRect/>
                          </a:stretch>
                        </pic:blipFill>
                        <pic:spPr>
                          <a:xfrm>
                            <a:off x="0" y="0"/>
                            <a:ext cx="856615" cy="880110"/>
                          </a:xfrm>
                          <a:prstGeom prst="rect">
                            <a:avLst/>
                          </a:prstGeom>
                          <a:noFill/>
                          <a:ln>
                            <a:noFill/>
                          </a:ln>
                        </pic:spPr>
                      </pic:pic>
                    </a:graphicData>
                  </a:graphic>
                </wp:inline>
              </w:drawing>
            </w:r>
          </w:p>
        </w:tc>
      </w:tr>
      <w:tr w14:paraId="219AA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A2D175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18</w:t>
            </w:r>
          </w:p>
        </w:tc>
        <w:tc>
          <w:tcPr>
            <w:tcW w:w="1413" w:type="dxa"/>
            <w:shd w:val="clear" w:color="auto" w:fill="FFFFFF"/>
            <w:vAlign w:val="center"/>
          </w:tcPr>
          <w:p w14:paraId="37DC0452">
            <w:pPr>
              <w:spacing w:before="40" w:after="40"/>
              <w:jc w:val="left"/>
              <w:rPr>
                <w:rFonts w:ascii="宋体" w:hAnsi="宋体" w:eastAsia="宋体" w:cs="宋体"/>
                <w:sz w:val="24"/>
                <w:szCs w:val="24"/>
              </w:rPr>
            </w:pPr>
            <w:r>
              <w:rPr>
                <w:rFonts w:hint="eastAsia" w:ascii="宋体" w:hAnsi="宋体" w:eastAsia="宋体" w:cs="宋体"/>
                <w:color w:val="000000"/>
                <w:sz w:val="24"/>
                <w:szCs w:val="24"/>
              </w:rPr>
              <w:t>合作伙伴墙面</w:t>
            </w:r>
          </w:p>
        </w:tc>
        <w:tc>
          <w:tcPr>
            <w:tcW w:w="4239" w:type="dxa"/>
            <w:shd w:val="clear" w:color="auto" w:fill="FFFFFF"/>
            <w:vAlign w:val="center"/>
          </w:tcPr>
          <w:p w14:paraId="678E6159">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合作伙伴展示墙，墙面尺寸240×200cm，采用10mm厚PVC板雕刻造型，表面覆高清写真水凝膜，含合作品牌Logo排版及安装。</w:t>
            </w:r>
          </w:p>
        </w:tc>
        <w:tc>
          <w:tcPr>
            <w:tcW w:w="756" w:type="dxa"/>
            <w:shd w:val="clear" w:color="auto" w:fill="FFFFFF"/>
            <w:vAlign w:val="center"/>
          </w:tcPr>
          <w:p w14:paraId="1F0B4715">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655A5C2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FAF8EBE">
            <w:pPr>
              <w:spacing w:before="40" w:after="40"/>
              <w:jc w:val="center"/>
              <w:rPr>
                <w:rFonts w:ascii="宋体" w:hAnsi="宋体" w:eastAsia="宋体" w:cs="宋体"/>
                <w:sz w:val="24"/>
                <w:szCs w:val="24"/>
              </w:rPr>
            </w:pPr>
            <w:r>
              <w:drawing>
                <wp:inline distT="0" distB="0" distL="114300" distR="114300">
                  <wp:extent cx="619760" cy="796290"/>
                  <wp:effectExtent l="0" t="0" r="8890" b="381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8"/>
                          <a:stretch>
                            <a:fillRect/>
                          </a:stretch>
                        </pic:blipFill>
                        <pic:spPr>
                          <a:xfrm>
                            <a:off x="0" y="0"/>
                            <a:ext cx="619760" cy="796290"/>
                          </a:xfrm>
                          <a:prstGeom prst="rect">
                            <a:avLst/>
                          </a:prstGeom>
                          <a:noFill/>
                          <a:ln>
                            <a:noFill/>
                          </a:ln>
                        </pic:spPr>
                      </pic:pic>
                    </a:graphicData>
                  </a:graphic>
                </wp:inline>
              </w:drawing>
            </w:r>
          </w:p>
        </w:tc>
      </w:tr>
      <w:tr w14:paraId="4AD71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42FF68A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19</w:t>
            </w:r>
          </w:p>
        </w:tc>
        <w:tc>
          <w:tcPr>
            <w:tcW w:w="1413" w:type="dxa"/>
            <w:shd w:val="clear" w:color="auto" w:fill="FFFFFF"/>
            <w:vAlign w:val="center"/>
          </w:tcPr>
          <w:p w14:paraId="5D1D1E8D">
            <w:pPr>
              <w:spacing w:before="40" w:after="40"/>
              <w:jc w:val="left"/>
              <w:rPr>
                <w:rFonts w:ascii="宋体" w:hAnsi="宋体" w:eastAsia="宋体" w:cs="宋体"/>
                <w:sz w:val="24"/>
                <w:szCs w:val="24"/>
              </w:rPr>
            </w:pPr>
            <w:r>
              <w:rPr>
                <w:rFonts w:hint="eastAsia" w:ascii="宋体" w:hAnsi="宋体" w:eastAsia="宋体" w:cs="宋体"/>
                <w:color w:val="000000"/>
                <w:sz w:val="24"/>
                <w:szCs w:val="24"/>
              </w:rPr>
              <w:t>项目路演墙面</w:t>
            </w:r>
          </w:p>
        </w:tc>
        <w:tc>
          <w:tcPr>
            <w:tcW w:w="4239" w:type="dxa"/>
            <w:shd w:val="clear" w:color="auto" w:fill="FFFFFF"/>
            <w:vAlign w:val="center"/>
          </w:tcPr>
          <w:p w14:paraId="6377D0E0">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项目路演标题字，采用亚克力立体字（厚度20cm），内容由采购人提供，含安装及灯光效果。</w:t>
            </w:r>
          </w:p>
        </w:tc>
        <w:tc>
          <w:tcPr>
            <w:tcW w:w="756" w:type="dxa"/>
            <w:shd w:val="clear" w:color="auto" w:fill="FFFFFF"/>
            <w:vAlign w:val="center"/>
          </w:tcPr>
          <w:p w14:paraId="4A6D06A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74A0681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3DF2E17E">
            <w:pPr>
              <w:spacing w:before="40" w:after="40"/>
              <w:jc w:val="left"/>
              <w:rPr>
                <w:rFonts w:ascii="宋体" w:hAnsi="宋体" w:eastAsia="宋体" w:cs="宋体"/>
                <w:sz w:val="24"/>
                <w:szCs w:val="24"/>
              </w:rPr>
            </w:pPr>
          </w:p>
        </w:tc>
      </w:tr>
      <w:tr w14:paraId="512D2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5F7AA16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20</w:t>
            </w:r>
          </w:p>
        </w:tc>
        <w:tc>
          <w:tcPr>
            <w:tcW w:w="1413" w:type="dxa"/>
            <w:shd w:val="clear" w:color="auto" w:fill="FFFFFF"/>
            <w:vAlign w:val="center"/>
          </w:tcPr>
          <w:p w14:paraId="53089448">
            <w:pPr>
              <w:spacing w:before="40" w:after="40"/>
              <w:jc w:val="left"/>
              <w:rPr>
                <w:rFonts w:ascii="宋体" w:hAnsi="宋体" w:eastAsia="宋体" w:cs="宋体"/>
                <w:sz w:val="24"/>
                <w:szCs w:val="24"/>
              </w:rPr>
            </w:pPr>
            <w:r>
              <w:rPr>
                <w:rFonts w:hint="eastAsia" w:ascii="宋体" w:hAnsi="宋体" w:eastAsia="宋体" w:cs="宋体"/>
                <w:color w:val="000000"/>
                <w:sz w:val="24"/>
                <w:szCs w:val="24"/>
              </w:rPr>
              <w:t>陈列展柜</w:t>
            </w:r>
          </w:p>
        </w:tc>
        <w:tc>
          <w:tcPr>
            <w:tcW w:w="4239" w:type="dxa"/>
            <w:shd w:val="clear" w:color="auto" w:fill="FFFFFF"/>
            <w:vAlign w:val="center"/>
          </w:tcPr>
          <w:p w14:paraId="2568707F">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每套规格：总高120cm（地柜高80cm+玻璃展示区高40cm），宽度50cm，深度40cm；</w:t>
            </w:r>
          </w:p>
          <w:p w14:paraId="2F1D8143">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①地柜：白色环保板结构，带柜门；</w:t>
            </w:r>
          </w:p>
          <w:p w14:paraId="13A73DA8">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②玻璃区：5mm清玻璃，含LED层板灯。</w:t>
            </w:r>
          </w:p>
        </w:tc>
        <w:tc>
          <w:tcPr>
            <w:tcW w:w="756" w:type="dxa"/>
            <w:shd w:val="clear" w:color="auto" w:fill="FFFFFF"/>
            <w:vAlign w:val="center"/>
          </w:tcPr>
          <w:p w14:paraId="62AB75F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0655E8C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4</w:t>
            </w:r>
          </w:p>
        </w:tc>
        <w:tc>
          <w:tcPr>
            <w:tcW w:w="1675" w:type="dxa"/>
            <w:shd w:val="clear" w:color="auto" w:fill="FFFFFF"/>
            <w:vAlign w:val="center"/>
          </w:tcPr>
          <w:p w14:paraId="1FD684B7">
            <w:pPr>
              <w:spacing w:before="40" w:after="40"/>
              <w:jc w:val="left"/>
              <w:rPr>
                <w:rFonts w:ascii="宋体" w:hAnsi="宋体" w:eastAsia="宋体" w:cs="宋体"/>
                <w:sz w:val="24"/>
                <w:szCs w:val="24"/>
              </w:rPr>
            </w:pPr>
            <w:r>
              <w:rPr>
                <w:rFonts w:ascii="宋体" w:hAnsi="宋体" w:eastAsia="宋体" w:cs="宋体"/>
                <w:sz w:val="24"/>
                <w:szCs w:val="24"/>
              </w:rPr>
              <w:drawing>
                <wp:inline distT="0" distB="0" distL="114300" distR="114300">
                  <wp:extent cx="877570" cy="658495"/>
                  <wp:effectExtent l="0" t="0" r="17780" b="8255"/>
                  <wp:docPr id="14" name="图片 14" descr="bd1be84e872cd3849e6b84a5a9c9a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d1be84e872cd3849e6b84a5a9c9ad30"/>
                          <pic:cNvPicPr>
                            <a:picLocks noChangeAspect="1"/>
                          </pic:cNvPicPr>
                        </pic:nvPicPr>
                        <pic:blipFill>
                          <a:blip r:embed="rId9"/>
                          <a:stretch>
                            <a:fillRect/>
                          </a:stretch>
                        </pic:blipFill>
                        <pic:spPr>
                          <a:xfrm>
                            <a:off x="0" y="0"/>
                            <a:ext cx="877570" cy="658495"/>
                          </a:xfrm>
                          <a:prstGeom prst="rect">
                            <a:avLst/>
                          </a:prstGeom>
                        </pic:spPr>
                      </pic:pic>
                    </a:graphicData>
                  </a:graphic>
                </wp:inline>
              </w:drawing>
            </w:r>
          </w:p>
        </w:tc>
      </w:tr>
      <w:tr w14:paraId="7C88E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968" w:type="dxa"/>
            <w:gridSpan w:val="6"/>
            <w:shd w:val="clear" w:color="auto" w:fill="FFFFFF"/>
            <w:vAlign w:val="center"/>
          </w:tcPr>
          <w:p w14:paraId="7B3F59C4">
            <w:pPr>
              <w:tabs>
                <w:tab w:val="left" w:pos="6654"/>
              </w:tabs>
              <w:spacing w:before="40" w:after="40"/>
              <w:jc w:val="left"/>
              <w:rPr>
                <w:rFonts w:ascii="宋体" w:hAnsi="宋体" w:eastAsia="宋体" w:cs="宋体"/>
                <w:sz w:val="24"/>
                <w:szCs w:val="24"/>
              </w:rPr>
            </w:pPr>
            <w:r>
              <w:rPr>
                <w:rFonts w:hint="eastAsia" w:ascii="宋体" w:hAnsi="宋体" w:eastAsia="宋体" w:cs="宋体"/>
                <w:color w:val="000000"/>
                <w:sz w:val="24"/>
                <w:szCs w:val="24"/>
              </w:rPr>
              <w:t>四、咖啡阁</w:t>
            </w:r>
            <w:r>
              <w:rPr>
                <w:rFonts w:hint="eastAsia" w:ascii="宋体" w:hAnsi="宋体" w:eastAsia="宋体" w:cs="宋体"/>
                <w:sz w:val="24"/>
                <w:szCs w:val="24"/>
              </w:rPr>
              <w:tab/>
            </w:r>
          </w:p>
        </w:tc>
      </w:tr>
      <w:tr w14:paraId="125DF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3CC3570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21</w:t>
            </w:r>
          </w:p>
        </w:tc>
        <w:tc>
          <w:tcPr>
            <w:tcW w:w="1413" w:type="dxa"/>
            <w:shd w:val="clear" w:color="auto" w:fill="FFFFFF"/>
            <w:vAlign w:val="center"/>
          </w:tcPr>
          <w:p w14:paraId="0C203EBE">
            <w:pPr>
              <w:spacing w:before="40" w:after="40"/>
              <w:jc w:val="left"/>
              <w:rPr>
                <w:rFonts w:ascii="宋体" w:hAnsi="宋体" w:eastAsia="宋体" w:cs="宋体"/>
                <w:sz w:val="24"/>
                <w:szCs w:val="24"/>
              </w:rPr>
            </w:pPr>
            <w:r>
              <w:rPr>
                <w:rFonts w:hint="eastAsia" w:ascii="宋体" w:hAnsi="宋体" w:eastAsia="宋体" w:cs="宋体"/>
                <w:color w:val="000000"/>
                <w:sz w:val="24"/>
                <w:szCs w:val="24"/>
              </w:rPr>
              <w:t>立地铁网</w:t>
            </w:r>
          </w:p>
        </w:tc>
        <w:tc>
          <w:tcPr>
            <w:tcW w:w="4239" w:type="dxa"/>
            <w:shd w:val="clear" w:color="auto" w:fill="FFFFFF"/>
            <w:vAlign w:val="center"/>
          </w:tcPr>
          <w:p w14:paraId="70B4A9EC">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铁网围挡（正面），尺寸970×350cm，采用镀锌铁丝网（网孔50×50mm）+ 方钢框架，表面喷塑处理，含立柱预埋固定。</w:t>
            </w:r>
          </w:p>
        </w:tc>
        <w:tc>
          <w:tcPr>
            <w:tcW w:w="756" w:type="dxa"/>
            <w:shd w:val="clear" w:color="auto" w:fill="FFFFFF"/>
            <w:vAlign w:val="center"/>
          </w:tcPr>
          <w:p w14:paraId="436C4B2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54B1BED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58B163F5">
            <w:pPr>
              <w:spacing w:before="40" w:after="40"/>
              <w:jc w:val="left"/>
              <w:rPr>
                <w:rFonts w:ascii="宋体" w:hAnsi="宋体" w:eastAsia="宋体" w:cs="宋体"/>
                <w:sz w:val="24"/>
                <w:szCs w:val="24"/>
              </w:rPr>
            </w:pPr>
          </w:p>
        </w:tc>
      </w:tr>
      <w:tr w14:paraId="16EB6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5D8939B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22</w:t>
            </w:r>
          </w:p>
        </w:tc>
        <w:tc>
          <w:tcPr>
            <w:tcW w:w="1413" w:type="dxa"/>
            <w:shd w:val="clear" w:color="auto" w:fill="FFFFFF"/>
            <w:vAlign w:val="center"/>
          </w:tcPr>
          <w:p w14:paraId="4E2EF0A5">
            <w:pPr>
              <w:spacing w:before="40" w:after="40"/>
              <w:jc w:val="left"/>
              <w:rPr>
                <w:rFonts w:ascii="宋体" w:hAnsi="宋体" w:eastAsia="宋体" w:cs="宋体"/>
                <w:sz w:val="24"/>
                <w:szCs w:val="24"/>
              </w:rPr>
            </w:pPr>
            <w:r>
              <w:rPr>
                <w:rFonts w:hint="eastAsia" w:ascii="宋体" w:hAnsi="宋体" w:eastAsia="宋体" w:cs="宋体"/>
                <w:color w:val="000000"/>
                <w:sz w:val="24"/>
                <w:szCs w:val="24"/>
              </w:rPr>
              <w:t>立地铁网</w:t>
            </w:r>
          </w:p>
        </w:tc>
        <w:tc>
          <w:tcPr>
            <w:tcW w:w="4239" w:type="dxa"/>
            <w:shd w:val="clear" w:color="auto" w:fill="FFFFFF"/>
            <w:vAlign w:val="center"/>
          </w:tcPr>
          <w:p w14:paraId="6B8F6E65">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铁网围挡（侧墙），尺寸780×350cm，采用镀锌铁丝网（网孔50×50mm）+ 方钢框架，表面喷塑处理，含立柱预埋固定。</w:t>
            </w:r>
          </w:p>
        </w:tc>
        <w:tc>
          <w:tcPr>
            <w:tcW w:w="756" w:type="dxa"/>
            <w:shd w:val="clear" w:color="auto" w:fill="FFFFFF"/>
            <w:vAlign w:val="center"/>
          </w:tcPr>
          <w:p w14:paraId="5CD4CBA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19B56E8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4C5E4F05">
            <w:pPr>
              <w:spacing w:before="40" w:after="40"/>
              <w:jc w:val="left"/>
              <w:rPr>
                <w:rFonts w:ascii="宋体" w:hAnsi="宋体" w:eastAsia="宋体" w:cs="宋体"/>
                <w:sz w:val="24"/>
                <w:szCs w:val="24"/>
              </w:rPr>
            </w:pPr>
          </w:p>
        </w:tc>
      </w:tr>
      <w:tr w14:paraId="3E133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6530CD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23</w:t>
            </w:r>
          </w:p>
        </w:tc>
        <w:tc>
          <w:tcPr>
            <w:tcW w:w="1413" w:type="dxa"/>
            <w:shd w:val="clear" w:color="auto" w:fill="FFFFFF"/>
            <w:vAlign w:val="center"/>
          </w:tcPr>
          <w:p w14:paraId="774A9053">
            <w:pPr>
              <w:spacing w:before="40" w:after="40"/>
              <w:jc w:val="left"/>
              <w:rPr>
                <w:rFonts w:ascii="宋体" w:hAnsi="宋体" w:eastAsia="宋体" w:cs="宋体"/>
                <w:sz w:val="24"/>
                <w:szCs w:val="24"/>
              </w:rPr>
            </w:pPr>
            <w:r>
              <w:rPr>
                <w:rFonts w:hint="eastAsia" w:ascii="宋体" w:hAnsi="宋体" w:eastAsia="宋体" w:cs="宋体"/>
                <w:color w:val="000000"/>
                <w:sz w:val="24"/>
                <w:szCs w:val="24"/>
              </w:rPr>
              <w:t>大理石吧台</w:t>
            </w:r>
          </w:p>
        </w:tc>
        <w:tc>
          <w:tcPr>
            <w:tcW w:w="4239" w:type="dxa"/>
            <w:shd w:val="clear" w:color="auto" w:fill="FFFFFF"/>
            <w:vAlign w:val="center"/>
          </w:tcPr>
          <w:p w14:paraId="176CAF19">
            <w:pPr>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大理石吧台台面（靠墙），尺寸100×380cm，采用人造石/天然大理石（厚度20mm），含磨边、抛光及台下支架安装。</w:t>
            </w:r>
          </w:p>
        </w:tc>
        <w:tc>
          <w:tcPr>
            <w:tcW w:w="756" w:type="dxa"/>
            <w:shd w:val="clear" w:color="auto" w:fill="FFFFFF"/>
            <w:vAlign w:val="center"/>
          </w:tcPr>
          <w:p w14:paraId="109AFC4B">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0E79EE9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63624253">
            <w:pPr>
              <w:spacing w:before="40" w:after="40"/>
              <w:jc w:val="left"/>
              <w:rPr>
                <w:rFonts w:ascii="宋体" w:hAnsi="宋体" w:eastAsia="宋体" w:cs="宋体"/>
                <w:sz w:val="24"/>
                <w:szCs w:val="24"/>
              </w:rPr>
            </w:pPr>
          </w:p>
        </w:tc>
      </w:tr>
      <w:tr w14:paraId="2E87E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740B29A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24</w:t>
            </w:r>
          </w:p>
        </w:tc>
        <w:tc>
          <w:tcPr>
            <w:tcW w:w="1413" w:type="dxa"/>
            <w:shd w:val="clear" w:color="auto" w:fill="FFFFFF"/>
            <w:vAlign w:val="center"/>
          </w:tcPr>
          <w:p w14:paraId="76F1B1BD">
            <w:pPr>
              <w:spacing w:before="40" w:after="40"/>
              <w:jc w:val="left"/>
              <w:rPr>
                <w:rFonts w:ascii="宋体" w:hAnsi="宋体" w:eastAsia="宋体" w:cs="宋体"/>
                <w:sz w:val="24"/>
                <w:szCs w:val="24"/>
              </w:rPr>
            </w:pPr>
            <w:r>
              <w:rPr>
                <w:rFonts w:hint="eastAsia" w:ascii="宋体" w:hAnsi="宋体" w:eastAsia="宋体" w:cs="宋体"/>
                <w:color w:val="000000"/>
                <w:sz w:val="24"/>
                <w:szCs w:val="24"/>
              </w:rPr>
              <w:t>大理石吧台</w:t>
            </w:r>
          </w:p>
        </w:tc>
        <w:tc>
          <w:tcPr>
            <w:tcW w:w="4239" w:type="dxa"/>
            <w:shd w:val="clear" w:color="auto" w:fill="FFFFFF"/>
            <w:vAlign w:val="center"/>
          </w:tcPr>
          <w:p w14:paraId="0F2DA027">
            <w:pPr>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大理石台面（正面）尺寸60×360cm，采用人造石/天然大理石（厚度20mm），含磨边、抛光及支架安装。</w:t>
            </w:r>
          </w:p>
        </w:tc>
        <w:tc>
          <w:tcPr>
            <w:tcW w:w="756" w:type="dxa"/>
            <w:shd w:val="clear" w:color="auto" w:fill="FFFFFF"/>
            <w:vAlign w:val="center"/>
          </w:tcPr>
          <w:p w14:paraId="0AE669A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74F64CD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1CE3CF22">
            <w:pPr>
              <w:spacing w:before="40" w:after="40"/>
              <w:jc w:val="left"/>
              <w:rPr>
                <w:rFonts w:ascii="宋体" w:hAnsi="宋体" w:eastAsia="宋体" w:cs="宋体"/>
                <w:sz w:val="24"/>
                <w:szCs w:val="24"/>
              </w:rPr>
            </w:pPr>
          </w:p>
        </w:tc>
      </w:tr>
      <w:tr w14:paraId="0B594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2803C25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25</w:t>
            </w:r>
          </w:p>
        </w:tc>
        <w:tc>
          <w:tcPr>
            <w:tcW w:w="1413" w:type="dxa"/>
            <w:shd w:val="clear" w:color="auto" w:fill="FFFFFF"/>
            <w:vAlign w:val="center"/>
          </w:tcPr>
          <w:p w14:paraId="36224C1E">
            <w:pPr>
              <w:spacing w:before="40" w:after="40"/>
              <w:jc w:val="left"/>
              <w:rPr>
                <w:rFonts w:ascii="宋体" w:hAnsi="宋体" w:eastAsia="宋体" w:cs="宋体"/>
                <w:sz w:val="24"/>
                <w:szCs w:val="24"/>
              </w:rPr>
            </w:pPr>
            <w:r>
              <w:rPr>
                <w:rFonts w:hint="eastAsia" w:ascii="宋体" w:hAnsi="宋体" w:eastAsia="宋体" w:cs="宋体"/>
                <w:color w:val="000000"/>
                <w:sz w:val="24"/>
                <w:szCs w:val="24"/>
              </w:rPr>
              <w:t>清洗操作台</w:t>
            </w:r>
          </w:p>
        </w:tc>
        <w:tc>
          <w:tcPr>
            <w:tcW w:w="4239" w:type="dxa"/>
            <w:shd w:val="clear" w:color="auto" w:fill="FFFFFF"/>
            <w:vAlign w:val="center"/>
          </w:tcPr>
          <w:p w14:paraId="10CC1BC0">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清洗操作台2套，每套含不锈钢水槽（304不锈钢，厚度1.0mm）、水龙头及给排水接口，含台面支架及安装。</w:t>
            </w:r>
          </w:p>
        </w:tc>
        <w:tc>
          <w:tcPr>
            <w:tcW w:w="756" w:type="dxa"/>
            <w:shd w:val="clear" w:color="auto" w:fill="FFFFFF"/>
            <w:vAlign w:val="center"/>
          </w:tcPr>
          <w:p w14:paraId="00FA011C">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0BF7AF2F">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2</w:t>
            </w:r>
          </w:p>
        </w:tc>
        <w:tc>
          <w:tcPr>
            <w:tcW w:w="1675" w:type="dxa"/>
            <w:shd w:val="clear" w:color="auto" w:fill="FFFFFF"/>
            <w:vAlign w:val="center"/>
          </w:tcPr>
          <w:p w14:paraId="14EA0683">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定制</w:t>
            </w:r>
          </w:p>
        </w:tc>
      </w:tr>
      <w:tr w14:paraId="60D4D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8FAC19A">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26</w:t>
            </w:r>
          </w:p>
        </w:tc>
        <w:tc>
          <w:tcPr>
            <w:tcW w:w="1413" w:type="dxa"/>
            <w:shd w:val="clear" w:color="auto" w:fill="FFFFFF"/>
            <w:vAlign w:val="center"/>
          </w:tcPr>
          <w:p w14:paraId="15108A1A">
            <w:pPr>
              <w:spacing w:before="40" w:after="40"/>
              <w:jc w:val="left"/>
              <w:rPr>
                <w:rFonts w:ascii="宋体" w:hAnsi="宋体" w:eastAsia="宋体" w:cs="宋体"/>
                <w:sz w:val="24"/>
                <w:szCs w:val="24"/>
              </w:rPr>
            </w:pPr>
            <w:r>
              <w:rPr>
                <w:rFonts w:hint="eastAsia" w:ascii="宋体" w:hAnsi="宋体" w:eastAsia="宋体" w:cs="宋体"/>
                <w:color w:val="000000"/>
                <w:sz w:val="24"/>
                <w:szCs w:val="24"/>
              </w:rPr>
              <w:t>过道回弹小门</w:t>
            </w:r>
          </w:p>
        </w:tc>
        <w:tc>
          <w:tcPr>
            <w:tcW w:w="4239" w:type="dxa"/>
            <w:shd w:val="clear" w:color="auto" w:fill="FFFFFF"/>
            <w:vAlign w:val="center"/>
          </w:tcPr>
          <w:p w14:paraId="17354A3A">
            <w:pPr>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过道回弹小门，尺寸100×60cm，采用铝合金门框+钢化玻璃门，配闭门器（自动回弹），含五金件及安装。</w:t>
            </w:r>
          </w:p>
        </w:tc>
        <w:tc>
          <w:tcPr>
            <w:tcW w:w="756" w:type="dxa"/>
            <w:shd w:val="clear" w:color="auto" w:fill="FFFFFF"/>
            <w:vAlign w:val="center"/>
          </w:tcPr>
          <w:p w14:paraId="232B4313">
            <w:pPr>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扇</w:t>
            </w:r>
          </w:p>
        </w:tc>
        <w:tc>
          <w:tcPr>
            <w:tcW w:w="1157" w:type="dxa"/>
            <w:shd w:val="clear" w:color="auto" w:fill="FFFFFF"/>
            <w:vAlign w:val="center"/>
          </w:tcPr>
          <w:p w14:paraId="443C9D56">
            <w:pPr>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1675" w:type="dxa"/>
            <w:shd w:val="clear" w:color="auto" w:fill="FFFFFF"/>
            <w:vAlign w:val="center"/>
          </w:tcPr>
          <w:p w14:paraId="2EA4ABD4">
            <w:pPr>
              <w:spacing w:before="40" w:after="40"/>
              <w:jc w:val="left"/>
              <w:rPr>
                <w:rFonts w:ascii="宋体" w:hAnsi="宋体" w:eastAsia="宋体" w:cs="宋体"/>
                <w:sz w:val="24"/>
                <w:szCs w:val="24"/>
              </w:rPr>
            </w:pPr>
          </w:p>
        </w:tc>
      </w:tr>
      <w:tr w14:paraId="733D0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ED5700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27</w:t>
            </w:r>
          </w:p>
        </w:tc>
        <w:tc>
          <w:tcPr>
            <w:tcW w:w="1413" w:type="dxa"/>
            <w:shd w:val="clear" w:color="auto" w:fill="FFFFFF"/>
            <w:vAlign w:val="center"/>
          </w:tcPr>
          <w:p w14:paraId="66CBB36D">
            <w:pPr>
              <w:spacing w:before="40" w:after="40"/>
              <w:jc w:val="left"/>
              <w:rPr>
                <w:rFonts w:ascii="宋体" w:hAnsi="宋体" w:eastAsia="宋体" w:cs="宋体"/>
                <w:sz w:val="24"/>
                <w:szCs w:val="24"/>
              </w:rPr>
            </w:pPr>
            <w:r>
              <w:rPr>
                <w:rFonts w:hint="eastAsia" w:ascii="宋体" w:hAnsi="宋体" w:eastAsia="宋体" w:cs="宋体"/>
                <w:color w:val="000000"/>
                <w:sz w:val="24"/>
                <w:szCs w:val="24"/>
              </w:rPr>
              <w:t>膜结构太空棚定制</w:t>
            </w:r>
          </w:p>
        </w:tc>
        <w:tc>
          <w:tcPr>
            <w:tcW w:w="4239" w:type="dxa"/>
            <w:shd w:val="clear" w:color="auto" w:fill="FFFFFF"/>
            <w:vAlign w:val="center"/>
          </w:tcPr>
          <w:p w14:paraId="37734330">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膜结构遮阳棚，尺寸700×400cm，采用PVDF膜材（白色，防水防晒）+ 钢结构骨架（热镀锌处理），含预埋件、安装及调试。</w:t>
            </w:r>
          </w:p>
        </w:tc>
        <w:tc>
          <w:tcPr>
            <w:tcW w:w="756" w:type="dxa"/>
            <w:shd w:val="clear" w:color="auto" w:fill="FFFFFF"/>
            <w:vAlign w:val="center"/>
          </w:tcPr>
          <w:p w14:paraId="0EF650A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4C7847A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634DFA64">
            <w:pPr>
              <w:spacing w:before="40" w:after="40"/>
              <w:jc w:val="left"/>
              <w:rPr>
                <w:rFonts w:ascii="宋体" w:hAnsi="宋体" w:eastAsia="宋体" w:cs="宋体"/>
                <w:sz w:val="24"/>
                <w:szCs w:val="24"/>
              </w:rPr>
            </w:pPr>
          </w:p>
        </w:tc>
      </w:tr>
      <w:tr w14:paraId="25112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FF7D5FD">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28</w:t>
            </w:r>
          </w:p>
        </w:tc>
        <w:tc>
          <w:tcPr>
            <w:tcW w:w="1413" w:type="dxa"/>
            <w:shd w:val="clear" w:color="auto" w:fill="FFFFFF"/>
            <w:vAlign w:val="center"/>
          </w:tcPr>
          <w:p w14:paraId="17415B57">
            <w:pPr>
              <w:spacing w:before="40" w:after="40"/>
              <w:jc w:val="left"/>
              <w:rPr>
                <w:rFonts w:ascii="宋体" w:hAnsi="宋体" w:eastAsia="宋体" w:cs="宋体"/>
                <w:sz w:val="24"/>
                <w:szCs w:val="24"/>
              </w:rPr>
            </w:pPr>
            <w:r>
              <w:rPr>
                <w:rFonts w:hint="eastAsia" w:ascii="宋体" w:hAnsi="宋体" w:eastAsia="宋体" w:cs="宋体"/>
                <w:color w:val="000000"/>
                <w:sz w:val="24"/>
                <w:szCs w:val="24"/>
              </w:rPr>
              <w:t>地面加宽</w:t>
            </w:r>
          </w:p>
        </w:tc>
        <w:tc>
          <w:tcPr>
            <w:tcW w:w="4239" w:type="dxa"/>
            <w:shd w:val="clear" w:color="auto" w:fill="FFFFFF"/>
            <w:vAlign w:val="center"/>
          </w:tcPr>
          <w:p w14:paraId="6C90DD4D">
            <w:pPr>
              <w:widowControl/>
              <w:spacing w:before="40" w:after="40"/>
              <w:jc w:val="left"/>
              <w:rPr>
                <w:rFonts w:ascii="宋体" w:hAnsi="宋体" w:eastAsia="宋体" w:cs="宋体"/>
                <w:sz w:val="24"/>
                <w:szCs w:val="24"/>
              </w:rPr>
            </w:pPr>
            <w:r>
              <w:rPr>
                <w:rFonts w:hint="eastAsia" w:ascii="宋体" w:hAnsi="宋体" w:eastAsia="宋体" w:cs="宋体"/>
                <w:sz w:val="24"/>
                <w:szCs w:val="24"/>
                <w:lang w:bidi="ar"/>
              </w:rPr>
              <w:t>咖啡阁区域地面硬化加宽，C20混凝土浇筑，厚度10cm，异形按现场实际尺寸施工，含路基处理及伸缩缝切割。</w:t>
            </w:r>
          </w:p>
          <w:p w14:paraId="11E4E6DB">
            <w:pPr>
              <w:spacing w:before="40" w:after="40"/>
              <w:jc w:val="left"/>
              <w:rPr>
                <w:rFonts w:ascii="宋体" w:hAnsi="宋体" w:eastAsia="宋体" w:cs="宋体"/>
                <w:sz w:val="24"/>
                <w:szCs w:val="24"/>
              </w:rPr>
            </w:pPr>
            <w:r>
              <w:rPr>
                <w:rFonts w:hint="eastAsia" w:ascii="宋体" w:hAnsi="宋体" w:eastAsia="宋体" w:cs="宋体"/>
                <w:sz w:val="24"/>
                <w:szCs w:val="24"/>
              </w:rPr>
              <w:t>异形按现场定。</w:t>
            </w:r>
          </w:p>
        </w:tc>
        <w:tc>
          <w:tcPr>
            <w:tcW w:w="756" w:type="dxa"/>
            <w:shd w:val="clear" w:color="auto" w:fill="FFFFFF"/>
            <w:vAlign w:val="center"/>
          </w:tcPr>
          <w:p w14:paraId="56789E3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15E2894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3690A7B9">
            <w:pPr>
              <w:spacing w:before="40" w:after="40"/>
              <w:jc w:val="left"/>
              <w:rPr>
                <w:rFonts w:ascii="宋体" w:hAnsi="宋体" w:eastAsia="宋体" w:cs="宋体"/>
                <w:sz w:val="24"/>
                <w:szCs w:val="24"/>
              </w:rPr>
            </w:pPr>
          </w:p>
        </w:tc>
      </w:tr>
      <w:tr w14:paraId="7803E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081720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29</w:t>
            </w:r>
          </w:p>
        </w:tc>
        <w:tc>
          <w:tcPr>
            <w:tcW w:w="1413" w:type="dxa"/>
            <w:shd w:val="clear" w:color="auto" w:fill="FFFFFF"/>
            <w:vAlign w:val="center"/>
          </w:tcPr>
          <w:p w14:paraId="095B0023">
            <w:pPr>
              <w:spacing w:before="40" w:after="40"/>
              <w:jc w:val="left"/>
              <w:rPr>
                <w:rFonts w:ascii="宋体" w:hAnsi="宋体" w:eastAsia="宋体" w:cs="宋体"/>
                <w:sz w:val="24"/>
                <w:szCs w:val="24"/>
              </w:rPr>
            </w:pPr>
            <w:r>
              <w:rPr>
                <w:rFonts w:hint="eastAsia" w:ascii="宋体" w:hAnsi="宋体" w:eastAsia="宋体" w:cs="宋体"/>
                <w:color w:val="000000"/>
                <w:sz w:val="24"/>
                <w:szCs w:val="24"/>
              </w:rPr>
              <w:t>户外木塑地板</w:t>
            </w:r>
          </w:p>
        </w:tc>
        <w:tc>
          <w:tcPr>
            <w:tcW w:w="4239" w:type="dxa"/>
            <w:shd w:val="clear" w:color="auto" w:fill="FFFFFF"/>
            <w:vAlign w:val="center"/>
          </w:tcPr>
          <w:p w14:paraId="1DBEF544">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户外木塑地板铺装，面积约40㎡（1000×400cm），采用140×25mm共挤木塑地板，配镀锌钢龙骨（间距400mm），含固定收边。</w:t>
            </w:r>
          </w:p>
        </w:tc>
        <w:tc>
          <w:tcPr>
            <w:tcW w:w="756" w:type="dxa"/>
            <w:shd w:val="clear" w:color="auto" w:fill="FFFFFF"/>
            <w:vAlign w:val="center"/>
          </w:tcPr>
          <w:p w14:paraId="162DD5D7">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3FE2A63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6B918777">
            <w:pPr>
              <w:spacing w:before="40" w:after="40"/>
              <w:jc w:val="left"/>
              <w:rPr>
                <w:rFonts w:ascii="宋体" w:hAnsi="宋体" w:eastAsia="宋体" w:cs="宋体"/>
                <w:sz w:val="24"/>
                <w:szCs w:val="24"/>
              </w:rPr>
            </w:pPr>
          </w:p>
        </w:tc>
      </w:tr>
      <w:tr w14:paraId="5B34C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02257CA9">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30</w:t>
            </w:r>
          </w:p>
        </w:tc>
        <w:tc>
          <w:tcPr>
            <w:tcW w:w="1413" w:type="dxa"/>
            <w:shd w:val="clear" w:color="auto" w:fill="FFFFFF"/>
            <w:vAlign w:val="center"/>
          </w:tcPr>
          <w:p w14:paraId="05197A1E">
            <w:pPr>
              <w:spacing w:before="40" w:after="40"/>
              <w:jc w:val="left"/>
              <w:rPr>
                <w:rFonts w:ascii="宋体" w:hAnsi="宋体" w:eastAsia="宋体" w:cs="宋体"/>
                <w:sz w:val="24"/>
                <w:szCs w:val="24"/>
              </w:rPr>
            </w:pPr>
            <w:r>
              <w:rPr>
                <w:rFonts w:hint="eastAsia" w:ascii="宋体" w:hAnsi="宋体" w:eastAsia="宋体" w:cs="宋体"/>
                <w:color w:val="000000"/>
                <w:sz w:val="24"/>
                <w:szCs w:val="24"/>
              </w:rPr>
              <w:t>法式棚</w:t>
            </w:r>
          </w:p>
        </w:tc>
        <w:tc>
          <w:tcPr>
            <w:tcW w:w="4239" w:type="dxa"/>
            <w:shd w:val="clear" w:color="auto" w:fill="FFFFFF"/>
            <w:vAlign w:val="center"/>
          </w:tcPr>
          <w:p w14:paraId="6B28B225">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法式遮阳棚，共2组（靠墙1组+正面1组），采用帆布伸缩篷（防水防晒），铝合金骨架，手动伸缩，尺寸按现场实测定制。</w:t>
            </w:r>
          </w:p>
        </w:tc>
        <w:tc>
          <w:tcPr>
            <w:tcW w:w="756" w:type="dxa"/>
            <w:shd w:val="clear" w:color="auto" w:fill="FFFFFF"/>
            <w:vAlign w:val="center"/>
          </w:tcPr>
          <w:p w14:paraId="431BE0B3">
            <w:pPr>
              <w:spacing w:before="40" w:after="40"/>
              <w:jc w:val="center"/>
              <w:rPr>
                <w:rFonts w:ascii="宋体" w:hAnsi="宋体" w:eastAsia="宋体" w:cs="宋体"/>
                <w:sz w:val="24"/>
                <w:szCs w:val="24"/>
              </w:rPr>
            </w:pPr>
            <w:r>
              <w:rPr>
                <w:rFonts w:hint="eastAsia" w:ascii="宋体" w:hAnsi="宋体" w:eastAsia="宋体" w:cs="宋体"/>
                <w:color w:val="000000"/>
                <w:sz w:val="24"/>
                <w:szCs w:val="24"/>
              </w:rPr>
              <w:t>组</w:t>
            </w:r>
          </w:p>
        </w:tc>
        <w:tc>
          <w:tcPr>
            <w:tcW w:w="1157" w:type="dxa"/>
            <w:shd w:val="clear" w:color="auto" w:fill="FFFFFF"/>
            <w:vAlign w:val="center"/>
          </w:tcPr>
          <w:p w14:paraId="33BAA5FC">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2</w:t>
            </w:r>
          </w:p>
        </w:tc>
        <w:tc>
          <w:tcPr>
            <w:tcW w:w="1675" w:type="dxa"/>
            <w:shd w:val="clear" w:color="auto" w:fill="FFFFFF"/>
            <w:vAlign w:val="center"/>
          </w:tcPr>
          <w:p w14:paraId="5EF15874">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定制</w:t>
            </w:r>
          </w:p>
        </w:tc>
      </w:tr>
      <w:tr w14:paraId="59566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5E76EE3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31</w:t>
            </w:r>
          </w:p>
        </w:tc>
        <w:tc>
          <w:tcPr>
            <w:tcW w:w="1413" w:type="dxa"/>
            <w:shd w:val="clear" w:color="auto" w:fill="FFFFFF"/>
            <w:vAlign w:val="center"/>
          </w:tcPr>
          <w:p w14:paraId="597BA370">
            <w:pPr>
              <w:spacing w:before="40" w:after="40"/>
              <w:jc w:val="left"/>
              <w:rPr>
                <w:rFonts w:ascii="宋体" w:hAnsi="宋体" w:eastAsia="宋体" w:cs="宋体"/>
                <w:sz w:val="24"/>
                <w:szCs w:val="24"/>
              </w:rPr>
            </w:pPr>
            <w:r>
              <w:rPr>
                <w:rFonts w:hint="eastAsia" w:ascii="宋体" w:hAnsi="宋体" w:eastAsia="宋体" w:cs="宋体"/>
                <w:color w:val="000000"/>
                <w:sz w:val="24"/>
                <w:szCs w:val="24"/>
              </w:rPr>
              <w:t>加重太阳伞</w:t>
            </w:r>
          </w:p>
        </w:tc>
        <w:tc>
          <w:tcPr>
            <w:tcW w:w="4239" w:type="dxa"/>
            <w:shd w:val="clear" w:color="auto" w:fill="FFFFFF"/>
            <w:vAlign w:val="center"/>
          </w:tcPr>
          <w:p w14:paraId="4472E03D">
            <w:pPr>
              <w:widowControl/>
              <w:spacing w:before="40" w:after="40"/>
              <w:jc w:val="left"/>
              <w:rPr>
                <w:rFonts w:ascii="宋体" w:hAnsi="宋体" w:eastAsia="宋体" w:cs="宋体"/>
                <w:color w:val="000000"/>
                <w:sz w:val="24"/>
                <w:szCs w:val="24"/>
              </w:rPr>
            </w:pPr>
            <w:r>
              <w:rPr>
                <w:rFonts w:hint="eastAsia" w:ascii="宋体" w:hAnsi="宋体" w:eastAsia="宋体" w:cs="宋体"/>
                <w:color w:val="000000"/>
                <w:sz w:val="24"/>
                <w:szCs w:val="24"/>
                <w:lang w:bidi="ar"/>
              </w:rPr>
              <w:t>加重遮阳伞1套，伞面尺寸200×200cm，加厚牛津布伞面，铝合金伞骨，配20kg大理石加重底座。</w:t>
            </w:r>
          </w:p>
        </w:tc>
        <w:tc>
          <w:tcPr>
            <w:tcW w:w="756" w:type="dxa"/>
            <w:shd w:val="clear" w:color="auto" w:fill="FFFFFF"/>
            <w:vAlign w:val="center"/>
          </w:tcPr>
          <w:p w14:paraId="50697D1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62D8DE72">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2920CA49">
            <w:pPr>
              <w:spacing w:before="40" w:after="40"/>
              <w:jc w:val="left"/>
              <w:rPr>
                <w:rFonts w:ascii="宋体" w:hAnsi="宋体" w:eastAsia="宋体" w:cs="宋体"/>
                <w:sz w:val="24"/>
                <w:szCs w:val="24"/>
              </w:rPr>
            </w:pPr>
          </w:p>
        </w:tc>
      </w:tr>
      <w:tr w14:paraId="0498D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2BD37B6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32</w:t>
            </w:r>
          </w:p>
        </w:tc>
        <w:tc>
          <w:tcPr>
            <w:tcW w:w="1413" w:type="dxa"/>
            <w:shd w:val="clear" w:color="auto" w:fill="FFFFFF"/>
            <w:vAlign w:val="center"/>
          </w:tcPr>
          <w:p w14:paraId="57528EA9">
            <w:pPr>
              <w:spacing w:before="40" w:after="40"/>
              <w:jc w:val="left"/>
              <w:rPr>
                <w:rFonts w:ascii="宋体" w:hAnsi="宋体" w:eastAsia="宋体" w:cs="宋体"/>
                <w:sz w:val="24"/>
                <w:szCs w:val="24"/>
              </w:rPr>
            </w:pPr>
            <w:r>
              <w:rPr>
                <w:rFonts w:hint="eastAsia" w:ascii="宋体" w:hAnsi="宋体" w:eastAsia="宋体" w:cs="宋体"/>
                <w:color w:val="000000"/>
                <w:sz w:val="24"/>
                <w:szCs w:val="24"/>
              </w:rPr>
              <w:t>青创梦之树</w:t>
            </w:r>
          </w:p>
        </w:tc>
        <w:tc>
          <w:tcPr>
            <w:tcW w:w="4239" w:type="dxa"/>
            <w:shd w:val="clear" w:color="auto" w:fill="FFFFFF"/>
            <w:vAlign w:val="center"/>
          </w:tcPr>
          <w:p w14:paraId="7C3E3A93">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青创梦之树景观打造，</w:t>
            </w:r>
          </w:p>
          <w:p w14:paraId="47F769ED">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①树池围挡：石材/不锈钢弧形围挡，直径约100cm；</w:t>
            </w:r>
          </w:p>
          <w:p w14:paraId="1FA54263">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②地面开切,围绕树池地面切缝装饰；</w:t>
            </w:r>
          </w:p>
          <w:p w14:paraId="356528E6">
            <w:pPr>
              <w:widowControl/>
              <w:spacing w:before="40" w:after="40"/>
              <w:jc w:val="left"/>
              <w:rPr>
                <w:rFonts w:ascii="宋体" w:hAnsi="宋体" w:eastAsia="宋体" w:cs="宋体"/>
                <w:sz w:val="24"/>
                <w:szCs w:val="24"/>
              </w:rPr>
            </w:pPr>
            <w:r>
              <w:rPr>
                <w:rFonts w:hint="eastAsia" w:ascii="宋体" w:hAnsi="宋体" w:eastAsia="宋体" w:cs="宋体"/>
                <w:color w:val="000000"/>
                <w:sz w:val="24"/>
                <w:szCs w:val="24"/>
                <w:lang w:bidi="ar"/>
              </w:rPr>
              <w:t>③石刻内容,青创梦之树，倾斜在围挡处。</w:t>
            </w:r>
          </w:p>
        </w:tc>
        <w:tc>
          <w:tcPr>
            <w:tcW w:w="756" w:type="dxa"/>
            <w:shd w:val="clear" w:color="auto" w:fill="FFFFFF"/>
            <w:vAlign w:val="center"/>
          </w:tcPr>
          <w:p w14:paraId="13617BB6">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2CD3AA6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17EB01D5">
            <w:pPr>
              <w:spacing w:before="40" w:after="40"/>
              <w:jc w:val="left"/>
              <w:rPr>
                <w:rFonts w:ascii="宋体" w:hAnsi="宋体" w:eastAsia="宋体" w:cs="宋体"/>
                <w:sz w:val="24"/>
                <w:szCs w:val="24"/>
              </w:rPr>
            </w:pPr>
          </w:p>
        </w:tc>
      </w:tr>
      <w:tr w14:paraId="3D331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BC962EE">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33</w:t>
            </w:r>
          </w:p>
        </w:tc>
        <w:tc>
          <w:tcPr>
            <w:tcW w:w="1413" w:type="dxa"/>
            <w:shd w:val="clear" w:color="auto" w:fill="FFFFFF"/>
            <w:vAlign w:val="center"/>
          </w:tcPr>
          <w:p w14:paraId="46747227">
            <w:pPr>
              <w:spacing w:before="40" w:after="40"/>
              <w:jc w:val="left"/>
              <w:rPr>
                <w:rFonts w:ascii="宋体" w:hAnsi="宋体" w:eastAsia="宋体" w:cs="宋体"/>
                <w:sz w:val="24"/>
                <w:szCs w:val="24"/>
              </w:rPr>
            </w:pPr>
            <w:r>
              <w:rPr>
                <w:rFonts w:hint="eastAsia" w:ascii="宋体" w:hAnsi="宋体" w:eastAsia="宋体" w:cs="宋体"/>
                <w:color w:val="000000"/>
                <w:sz w:val="24"/>
                <w:szCs w:val="24"/>
              </w:rPr>
              <w:t>户外木塑桌椅</w:t>
            </w:r>
          </w:p>
        </w:tc>
        <w:tc>
          <w:tcPr>
            <w:tcW w:w="4239" w:type="dxa"/>
            <w:shd w:val="clear" w:color="auto" w:fill="FFFFFF"/>
            <w:vAlign w:val="center"/>
          </w:tcPr>
          <w:p w14:paraId="757B1971">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户外休闲桌椅2套，每套含1张圆桌（直径60cm，木塑台面+钢支架）+ 4把椅子（木塑座面+钢框架），防锈耐候处理。</w:t>
            </w:r>
          </w:p>
        </w:tc>
        <w:tc>
          <w:tcPr>
            <w:tcW w:w="756" w:type="dxa"/>
            <w:shd w:val="clear" w:color="auto" w:fill="FFFFFF"/>
            <w:vAlign w:val="center"/>
          </w:tcPr>
          <w:p w14:paraId="687B323C">
            <w:pPr>
              <w:spacing w:before="40" w:after="40"/>
              <w:jc w:val="center"/>
              <w:rPr>
                <w:rFonts w:ascii="宋体" w:hAnsi="宋体" w:eastAsia="宋体" w:cs="宋体"/>
                <w:sz w:val="24"/>
                <w:szCs w:val="24"/>
              </w:rPr>
            </w:pPr>
            <w:r>
              <w:rPr>
                <w:rFonts w:hint="eastAsia" w:ascii="宋体" w:hAnsi="宋体" w:eastAsia="宋体" w:cs="宋体"/>
                <w:color w:val="000000"/>
                <w:sz w:val="24"/>
                <w:szCs w:val="24"/>
              </w:rPr>
              <w:t>套</w:t>
            </w:r>
          </w:p>
        </w:tc>
        <w:tc>
          <w:tcPr>
            <w:tcW w:w="1157" w:type="dxa"/>
            <w:shd w:val="clear" w:color="auto" w:fill="FFFFFF"/>
            <w:vAlign w:val="center"/>
          </w:tcPr>
          <w:p w14:paraId="24855A74">
            <w:pPr>
              <w:spacing w:before="40" w:after="40"/>
              <w:jc w:val="center"/>
              <w:rPr>
                <w:rFonts w:ascii="宋体" w:hAnsi="宋体" w:eastAsia="宋体" w:cs="宋体"/>
                <w:sz w:val="24"/>
                <w:szCs w:val="24"/>
              </w:rPr>
            </w:pPr>
            <w:r>
              <w:rPr>
                <w:rFonts w:hint="eastAsia" w:ascii="宋体" w:hAnsi="宋体" w:eastAsia="宋体" w:cs="宋体"/>
                <w:color w:val="000000"/>
                <w:sz w:val="24"/>
                <w:szCs w:val="24"/>
              </w:rPr>
              <w:t>2</w:t>
            </w:r>
          </w:p>
        </w:tc>
        <w:tc>
          <w:tcPr>
            <w:tcW w:w="1675" w:type="dxa"/>
            <w:shd w:val="clear" w:color="auto" w:fill="FFFFFF"/>
            <w:vAlign w:val="center"/>
          </w:tcPr>
          <w:p w14:paraId="5B37E16D">
            <w:pPr>
              <w:spacing w:before="40" w:after="40"/>
              <w:jc w:val="left"/>
              <w:rPr>
                <w:rFonts w:ascii="宋体" w:hAnsi="宋体" w:eastAsia="宋体" w:cs="宋体"/>
                <w:sz w:val="24"/>
                <w:szCs w:val="24"/>
              </w:rPr>
            </w:pPr>
          </w:p>
        </w:tc>
      </w:tr>
      <w:tr w14:paraId="3B07B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67CB4190">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34</w:t>
            </w:r>
          </w:p>
        </w:tc>
        <w:tc>
          <w:tcPr>
            <w:tcW w:w="1413" w:type="dxa"/>
            <w:shd w:val="clear" w:color="auto" w:fill="FFFFFF"/>
            <w:vAlign w:val="center"/>
          </w:tcPr>
          <w:p w14:paraId="6113BB8D">
            <w:pPr>
              <w:spacing w:before="40" w:after="40"/>
              <w:jc w:val="left"/>
              <w:rPr>
                <w:rFonts w:ascii="宋体" w:hAnsi="宋体" w:eastAsia="宋体" w:cs="宋体"/>
                <w:sz w:val="24"/>
                <w:szCs w:val="24"/>
              </w:rPr>
            </w:pPr>
            <w:r>
              <w:rPr>
                <w:rFonts w:hint="eastAsia" w:ascii="宋体" w:hAnsi="宋体" w:eastAsia="宋体" w:cs="宋体"/>
                <w:color w:val="000000"/>
                <w:sz w:val="24"/>
                <w:szCs w:val="24"/>
              </w:rPr>
              <w:t>茶水间、咖啡角水电接通</w:t>
            </w:r>
          </w:p>
        </w:tc>
        <w:tc>
          <w:tcPr>
            <w:tcW w:w="4239" w:type="dxa"/>
            <w:shd w:val="clear" w:color="auto" w:fill="FFFFFF"/>
            <w:vAlign w:val="center"/>
          </w:tcPr>
          <w:p w14:paraId="26979E8C">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茶水服务间及咖啡角给排水、用电驳接：</w:t>
            </w:r>
          </w:p>
          <w:p w14:paraId="6917EBD9">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①给排水：PPR水管+排水管，从指定接驳点接入；</w:t>
            </w:r>
          </w:p>
          <w:p w14:paraId="2E5B216D">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②用电：穿管布线+配电箱，从指定电源点接入；具体工程量按现场实际测量结算。</w:t>
            </w:r>
          </w:p>
        </w:tc>
        <w:tc>
          <w:tcPr>
            <w:tcW w:w="756" w:type="dxa"/>
            <w:shd w:val="clear" w:color="auto" w:fill="FFFFFF"/>
            <w:vAlign w:val="center"/>
          </w:tcPr>
          <w:p w14:paraId="0EA7A891">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7EB94B02">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07409977">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按现场定</w:t>
            </w:r>
          </w:p>
        </w:tc>
      </w:tr>
      <w:tr w14:paraId="3FDD6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1A77730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35</w:t>
            </w:r>
          </w:p>
        </w:tc>
        <w:tc>
          <w:tcPr>
            <w:tcW w:w="1413" w:type="dxa"/>
            <w:shd w:val="clear" w:color="auto" w:fill="FFFFFF"/>
            <w:vAlign w:val="center"/>
          </w:tcPr>
          <w:p w14:paraId="70C2AADF">
            <w:pPr>
              <w:spacing w:before="40" w:after="40"/>
              <w:jc w:val="left"/>
              <w:rPr>
                <w:rFonts w:ascii="宋体" w:hAnsi="宋体" w:eastAsia="宋体" w:cs="宋体"/>
                <w:sz w:val="24"/>
                <w:szCs w:val="24"/>
              </w:rPr>
            </w:pPr>
            <w:r>
              <w:rPr>
                <w:rFonts w:hint="eastAsia" w:ascii="宋体" w:hAnsi="宋体" w:eastAsia="宋体" w:cs="宋体"/>
                <w:color w:val="000000"/>
                <w:sz w:val="24"/>
                <w:szCs w:val="24"/>
              </w:rPr>
              <w:t>外侧玻璃贴膜</w:t>
            </w:r>
          </w:p>
        </w:tc>
        <w:tc>
          <w:tcPr>
            <w:tcW w:w="4239" w:type="dxa"/>
            <w:shd w:val="clear" w:color="auto" w:fill="FFFFFF"/>
            <w:vAlign w:val="center"/>
          </w:tcPr>
          <w:p w14:paraId="6E92964A">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外侧玻璃贴膜，面积约63.6㎡（6000×106cm），半透明磨砂膜，环保无胶、防水耐候、透光不透视，含玻璃清洁及贴膜施工。</w:t>
            </w:r>
            <w:r>
              <w:rPr>
                <w:rFonts w:ascii="Segoe UI" w:hAnsi="Segoe UI" w:eastAsia="Segoe UI" w:cs="Segoe UI"/>
                <w:color w:val="0F1115"/>
                <w:sz w:val="22"/>
                <w:szCs w:val="22"/>
                <w:shd w:val="clear" w:color="auto" w:fill="FFFFFF"/>
              </w:rPr>
              <w:t>集装箱玻璃幕墙中部偏下贴蓝色腰线和磨砂玻璃纸</w:t>
            </w:r>
            <w:r>
              <w:rPr>
                <w:rFonts w:hint="eastAsia" w:ascii="Segoe UI" w:hAnsi="Segoe UI" w:eastAsia="宋体" w:cs="Segoe UI"/>
                <w:color w:val="0F1115"/>
                <w:sz w:val="22"/>
                <w:szCs w:val="22"/>
                <w:shd w:val="clear" w:color="auto" w:fill="FFFFFF"/>
              </w:rPr>
              <w:t>。</w:t>
            </w:r>
          </w:p>
        </w:tc>
        <w:tc>
          <w:tcPr>
            <w:tcW w:w="756" w:type="dxa"/>
            <w:shd w:val="clear" w:color="auto" w:fill="FFFFFF"/>
            <w:vAlign w:val="center"/>
          </w:tcPr>
          <w:p w14:paraId="05E71C48">
            <w:pPr>
              <w:spacing w:before="40" w:after="40"/>
              <w:jc w:val="center"/>
              <w:rPr>
                <w:rFonts w:ascii="宋体" w:hAnsi="宋体" w:eastAsia="宋体" w:cs="宋体"/>
                <w:sz w:val="24"/>
                <w:szCs w:val="24"/>
              </w:rPr>
            </w:pPr>
            <w:r>
              <w:rPr>
                <w:rFonts w:hint="eastAsia" w:ascii="宋体" w:hAnsi="宋体" w:eastAsia="宋体" w:cs="宋体"/>
                <w:color w:val="000000"/>
                <w:sz w:val="24"/>
                <w:szCs w:val="24"/>
              </w:rPr>
              <w:t>项</w:t>
            </w:r>
          </w:p>
        </w:tc>
        <w:tc>
          <w:tcPr>
            <w:tcW w:w="1157" w:type="dxa"/>
            <w:shd w:val="clear" w:color="auto" w:fill="FFFFFF"/>
            <w:vAlign w:val="center"/>
          </w:tcPr>
          <w:p w14:paraId="2401CA3F">
            <w:pPr>
              <w:spacing w:before="40" w:after="40"/>
              <w:jc w:val="center"/>
              <w:rPr>
                <w:rFonts w:ascii="宋体" w:hAnsi="宋体" w:eastAsia="宋体" w:cs="宋体"/>
                <w:sz w:val="24"/>
                <w:szCs w:val="24"/>
              </w:rPr>
            </w:pPr>
            <w:r>
              <w:rPr>
                <w:rFonts w:hint="eastAsia" w:ascii="宋体" w:hAnsi="宋体" w:eastAsia="宋体" w:cs="宋体"/>
                <w:color w:val="000000"/>
                <w:sz w:val="24"/>
                <w:szCs w:val="24"/>
              </w:rPr>
              <w:t>1</w:t>
            </w:r>
          </w:p>
        </w:tc>
        <w:tc>
          <w:tcPr>
            <w:tcW w:w="1675" w:type="dxa"/>
            <w:shd w:val="clear" w:color="auto" w:fill="FFFFFF"/>
            <w:vAlign w:val="center"/>
          </w:tcPr>
          <w:p w14:paraId="4EFBF5EB">
            <w:pPr>
              <w:spacing w:before="40" w:after="40"/>
              <w:jc w:val="left"/>
              <w:rPr>
                <w:rFonts w:ascii="宋体" w:hAnsi="宋体" w:eastAsia="宋体" w:cs="宋体"/>
                <w:sz w:val="24"/>
                <w:szCs w:val="24"/>
              </w:rPr>
            </w:pPr>
          </w:p>
        </w:tc>
      </w:tr>
      <w:tr w14:paraId="749F1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272B0E83">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36</w:t>
            </w:r>
          </w:p>
        </w:tc>
        <w:tc>
          <w:tcPr>
            <w:tcW w:w="1413" w:type="dxa"/>
            <w:shd w:val="clear" w:color="auto" w:fill="auto"/>
            <w:vAlign w:val="center"/>
          </w:tcPr>
          <w:p w14:paraId="2BCA5788">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操作台雨棚</w:t>
            </w:r>
          </w:p>
        </w:tc>
        <w:tc>
          <w:tcPr>
            <w:tcW w:w="4239" w:type="dxa"/>
            <w:shd w:val="clear" w:color="auto" w:fill="auto"/>
            <w:vAlign w:val="center"/>
          </w:tcPr>
          <w:p w14:paraId="4F8A09D4">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操作台雨棚，共15㎡，采用钢结构骨架（方管焊接+防锈漆）+ 加厚帆布顶棚，含两种规格：360×200cm、380×200cm，含立柱固定安装。</w:t>
            </w:r>
          </w:p>
        </w:tc>
        <w:tc>
          <w:tcPr>
            <w:tcW w:w="756" w:type="dxa"/>
            <w:shd w:val="clear" w:color="auto" w:fill="FFFFFF"/>
            <w:vAlign w:val="center"/>
          </w:tcPr>
          <w:p w14:paraId="4D99BC0B">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方</w:t>
            </w:r>
          </w:p>
        </w:tc>
        <w:tc>
          <w:tcPr>
            <w:tcW w:w="1157" w:type="dxa"/>
            <w:shd w:val="clear" w:color="auto" w:fill="FFFFFF"/>
            <w:vAlign w:val="center"/>
          </w:tcPr>
          <w:p w14:paraId="35677F73">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15</w:t>
            </w:r>
          </w:p>
        </w:tc>
        <w:tc>
          <w:tcPr>
            <w:tcW w:w="1675" w:type="dxa"/>
            <w:shd w:val="clear" w:color="auto" w:fill="FFFFFF"/>
            <w:vAlign w:val="center"/>
          </w:tcPr>
          <w:p w14:paraId="240CA4BB">
            <w:pPr>
              <w:spacing w:before="40" w:after="40"/>
              <w:jc w:val="left"/>
              <w:rPr>
                <w:rFonts w:ascii="宋体" w:hAnsi="宋体" w:eastAsia="宋体" w:cs="宋体"/>
                <w:sz w:val="24"/>
                <w:szCs w:val="24"/>
              </w:rPr>
            </w:pPr>
          </w:p>
        </w:tc>
      </w:tr>
      <w:tr w14:paraId="045AE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28" w:type="dxa"/>
            <w:shd w:val="clear" w:color="auto" w:fill="FFFFFF"/>
            <w:vAlign w:val="center"/>
          </w:tcPr>
          <w:p w14:paraId="537909A1">
            <w:pPr>
              <w:spacing w:before="40" w:after="40"/>
              <w:jc w:val="center"/>
              <w:rPr>
                <w:rFonts w:ascii="宋体" w:hAnsi="宋体" w:eastAsia="宋体" w:cs="宋体"/>
                <w:color w:val="000000"/>
                <w:sz w:val="24"/>
                <w:szCs w:val="24"/>
              </w:rPr>
            </w:pPr>
            <w:r>
              <w:rPr>
                <w:rFonts w:hint="eastAsia" w:ascii="宋体" w:hAnsi="宋体" w:eastAsia="宋体" w:cs="宋体"/>
                <w:color w:val="000000"/>
                <w:sz w:val="24"/>
                <w:szCs w:val="24"/>
              </w:rPr>
              <w:t>37</w:t>
            </w:r>
          </w:p>
        </w:tc>
        <w:tc>
          <w:tcPr>
            <w:tcW w:w="1413" w:type="dxa"/>
            <w:shd w:val="clear" w:color="auto" w:fill="auto"/>
            <w:vAlign w:val="center"/>
          </w:tcPr>
          <w:p w14:paraId="71274E57">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勘测设计</w:t>
            </w:r>
          </w:p>
        </w:tc>
        <w:tc>
          <w:tcPr>
            <w:tcW w:w="4239" w:type="dxa"/>
            <w:shd w:val="clear" w:color="auto" w:fill="auto"/>
            <w:vAlign w:val="center"/>
          </w:tcPr>
          <w:p w14:paraId="66465E65">
            <w:pPr>
              <w:widowControl/>
              <w:spacing w:before="40" w:after="40"/>
              <w:jc w:val="left"/>
              <w:rPr>
                <w:rFonts w:ascii="宋体" w:hAnsi="宋体" w:eastAsia="宋体" w:cs="宋体"/>
                <w:color w:val="000000"/>
                <w:sz w:val="24"/>
                <w:szCs w:val="24"/>
                <w:lang w:bidi="ar"/>
              </w:rPr>
            </w:pPr>
            <w:r>
              <w:rPr>
                <w:rFonts w:hint="eastAsia" w:ascii="宋体" w:hAnsi="宋体" w:eastAsia="宋体" w:cs="宋体"/>
                <w:color w:val="000000"/>
                <w:sz w:val="24"/>
                <w:szCs w:val="24"/>
                <w:lang w:bidi="ar"/>
              </w:rPr>
              <w:t>现场勘测后，提供设计效果图、施工图、材料样板</w:t>
            </w:r>
          </w:p>
        </w:tc>
        <w:tc>
          <w:tcPr>
            <w:tcW w:w="756" w:type="dxa"/>
            <w:shd w:val="clear" w:color="auto" w:fill="FFFFFF"/>
            <w:vAlign w:val="center"/>
          </w:tcPr>
          <w:p w14:paraId="126ADBA6">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项</w:t>
            </w:r>
          </w:p>
        </w:tc>
        <w:tc>
          <w:tcPr>
            <w:tcW w:w="1157" w:type="dxa"/>
            <w:shd w:val="clear" w:color="auto" w:fill="FFFFFF"/>
            <w:vAlign w:val="center"/>
          </w:tcPr>
          <w:p w14:paraId="36EF5025">
            <w:pPr>
              <w:widowControl/>
              <w:spacing w:before="40" w:after="40"/>
              <w:jc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1675" w:type="dxa"/>
            <w:shd w:val="clear" w:color="auto" w:fill="FFFFFF"/>
            <w:vAlign w:val="center"/>
          </w:tcPr>
          <w:p w14:paraId="3A33F4D6">
            <w:pPr>
              <w:spacing w:before="40" w:after="40"/>
              <w:jc w:val="left"/>
              <w:rPr>
                <w:rFonts w:ascii="宋体" w:hAnsi="宋体" w:eastAsia="宋体" w:cs="宋体"/>
                <w:sz w:val="24"/>
                <w:szCs w:val="24"/>
              </w:rPr>
            </w:pPr>
          </w:p>
        </w:tc>
      </w:tr>
    </w:tbl>
    <w:p w14:paraId="1F471CCD">
      <w:pPr>
        <w:spacing w:line="360" w:lineRule="auto"/>
        <w:rPr>
          <w:rFonts w:cs="宋体" w:asciiTheme="minorEastAsia" w:hAnsiTheme="minorEastAsia" w:eastAsiaTheme="minorEastAsia"/>
          <w:bCs/>
          <w:kern w:val="0"/>
          <w:sz w:val="24"/>
          <w:szCs w:val="24"/>
          <w:highlight w:val="yellow"/>
        </w:rPr>
      </w:pPr>
      <w:r>
        <w:rPr>
          <w:rFonts w:hint="eastAsia" w:cs="宋体" w:asciiTheme="minorEastAsia" w:hAnsiTheme="minorEastAsia" w:eastAsiaTheme="minorEastAsia"/>
          <w:bCs/>
          <w:kern w:val="0"/>
          <w:sz w:val="24"/>
          <w:szCs w:val="24"/>
          <w:highlight w:val="yellow"/>
        </w:rPr>
        <w:t>注：工程量清单所有的数据只作为参考，以项目现场勘察情况为准。</w:t>
      </w:r>
    </w:p>
    <w:p w14:paraId="76803CB8">
      <w:pPr>
        <w:widowControl/>
        <w:spacing w:line="360" w:lineRule="auto"/>
        <w:jc w:val="left"/>
        <w:rPr>
          <w:rFonts w:cs="宋体" w:asciiTheme="minorEastAsia" w:hAnsiTheme="minorEastAsia" w:eastAsiaTheme="minorEastAsia"/>
          <w:bCs/>
          <w:kern w:val="0"/>
          <w:sz w:val="24"/>
          <w:szCs w:val="24"/>
          <w:highlight w:val="yellow"/>
        </w:rPr>
      </w:pPr>
      <w:r>
        <w:rPr>
          <w:rFonts w:hint="eastAsia" w:cs="宋体" w:asciiTheme="minorEastAsia" w:hAnsiTheme="minorEastAsia" w:eastAsiaTheme="minorEastAsia"/>
          <w:bCs/>
          <w:kern w:val="0"/>
          <w:sz w:val="24"/>
          <w:szCs w:val="24"/>
          <w:highlight w:val="yellow"/>
        </w:rPr>
        <w:t>附：江门市技师学院“科创一条街”建设方案</w:t>
      </w:r>
    </w:p>
    <w:p w14:paraId="7EF1F6D2">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2.承包范围：固定总价承包。按工程量清单所包含的范围，包施工、包材料、包机械、包质量、包工期、包安全、包安全文明施工、包建筑余泥清运、包环境卫生、包竣工验收等。</w:t>
      </w:r>
    </w:p>
    <w:p w14:paraId="5D23EA86">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3.</w:t>
      </w:r>
      <w:r>
        <w:rPr>
          <w:rFonts w:hint="eastAsia" w:ascii="宋体" w:hAnsi="宋体" w:eastAsia="宋体" w:cs="宋体"/>
          <w:bCs/>
          <w:kern w:val="0"/>
          <w:sz w:val="28"/>
          <w:szCs w:val="28"/>
        </w:rPr>
        <w:t>工期：采购人确认施工方案起</w:t>
      </w:r>
      <w:r>
        <w:rPr>
          <w:rFonts w:hint="eastAsia" w:ascii="宋体" w:hAnsi="宋体" w:eastAsia="宋体" w:cs="宋体"/>
          <w:bCs/>
          <w:color w:val="000000" w:themeColor="text1"/>
          <w:kern w:val="0"/>
          <w:sz w:val="28"/>
          <w:szCs w:val="28"/>
          <w14:textFill>
            <w14:solidFill>
              <w14:schemeClr w14:val="tx1"/>
            </w14:solidFill>
          </w14:textFill>
        </w:rPr>
        <w:t>30</w:t>
      </w:r>
      <w:r>
        <w:rPr>
          <w:rFonts w:hint="eastAsia" w:ascii="宋体" w:hAnsi="宋体" w:eastAsia="宋体" w:cs="宋体"/>
          <w:bCs/>
          <w:kern w:val="0"/>
          <w:sz w:val="28"/>
          <w:szCs w:val="28"/>
        </w:rPr>
        <w:t>个日历日内完成所有工作并通过验收。</w:t>
      </w:r>
    </w:p>
    <w:p w14:paraId="02147671">
      <w:pPr>
        <w:spacing w:line="520" w:lineRule="exact"/>
        <w:ind w:firstLine="560" w:firstLineChars="200"/>
        <w:rPr>
          <w:rFonts w:ascii="宋体" w:hAnsi="宋体" w:eastAsia="宋体" w:cs="宋体"/>
          <w:bCs/>
          <w:color w:val="000000"/>
          <w:kern w:val="0"/>
          <w:sz w:val="28"/>
          <w:szCs w:val="28"/>
        </w:rPr>
      </w:pPr>
      <w:r>
        <w:rPr>
          <w:rFonts w:hint="eastAsia" w:cs="宋体" w:asciiTheme="minorEastAsia" w:hAnsiTheme="minorEastAsia" w:eastAsiaTheme="minorEastAsia"/>
          <w:bCs/>
          <w:kern w:val="0"/>
          <w:sz w:val="28"/>
          <w:szCs w:val="28"/>
        </w:rPr>
        <w:t>4</w:t>
      </w:r>
      <w:r>
        <w:rPr>
          <w:rFonts w:hint="eastAsia" w:ascii="宋体" w:hAnsi="宋体" w:eastAsia="宋体" w:cs="宋体"/>
          <w:bCs/>
          <w:color w:val="000000"/>
          <w:kern w:val="0"/>
          <w:sz w:val="28"/>
          <w:szCs w:val="28"/>
        </w:rPr>
        <w:t>.施工安全要求。施工过程中需严格遵守《建筑施工安全检查标准》及学院校园安全管理相关规定，落实安全生产责任制，做好施工现场防火、用电、临边防护等安全防护措施，所有施工人员进场前需接受学院安全教育，规范佩戴安全防护用具，施工区域设置明显安全警示标识，避免对学院正常教学、生活秩序造成干扰，严禁出现安全责任事故。</w:t>
      </w:r>
    </w:p>
    <w:p w14:paraId="27D36325">
      <w:pPr>
        <w:spacing w:line="360" w:lineRule="auto"/>
        <w:ind w:firstLine="560" w:firstLineChars="200"/>
        <w:rPr>
          <w:rFonts w:cs="宋体" w:asciiTheme="minorEastAsia" w:hAnsiTheme="minorEastAsia" w:eastAsiaTheme="minorEastAsia"/>
          <w:bCs/>
          <w:kern w:val="0"/>
          <w:sz w:val="28"/>
          <w:szCs w:val="28"/>
        </w:rPr>
      </w:pPr>
      <w:r>
        <w:rPr>
          <w:rFonts w:hint="eastAsia" w:ascii="宋体" w:hAnsi="宋体" w:eastAsia="宋体" w:cs="宋体"/>
          <w:bCs/>
          <w:color w:val="000000"/>
          <w:kern w:val="0"/>
          <w:sz w:val="28"/>
          <w:szCs w:val="28"/>
        </w:rPr>
        <w:t>5.</w:t>
      </w:r>
      <w:r>
        <w:rPr>
          <w:rFonts w:hint="eastAsia" w:cs="宋体" w:asciiTheme="minorEastAsia" w:hAnsiTheme="minorEastAsia" w:eastAsiaTheme="minorEastAsia"/>
          <w:bCs/>
          <w:kern w:val="0"/>
          <w:sz w:val="28"/>
          <w:szCs w:val="28"/>
        </w:rPr>
        <w:t>其他要求：施工前</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须根据项目需求书要求提供主要材料（如铝板色卡、发光字、玻璃贴、展柜板材、木塑地板等）样板供采购人选择，同时服从采购人对设计方案及点位安装的合理调整，最终施工方案需得到采购人确认后方可施工。</w:t>
      </w:r>
    </w:p>
    <w:p w14:paraId="6DDF7231">
      <w:pPr>
        <w:rPr>
          <w:rFonts w:cs="宋体" w:asciiTheme="minorEastAsia" w:hAnsiTheme="minorEastAsia" w:eastAsiaTheme="minorEastAsia"/>
          <w:b/>
          <w:color w:val="000000" w:themeColor="text1"/>
          <w:kern w:val="0"/>
          <w:sz w:val="28"/>
          <w:szCs w:val="28"/>
          <w14:textFill>
            <w14:solidFill>
              <w14:schemeClr w14:val="tx1"/>
            </w14:solidFill>
          </w14:textFill>
        </w:rPr>
      </w:pPr>
      <w:r>
        <w:rPr>
          <w:rFonts w:hint="eastAsia" w:cs="宋体" w:asciiTheme="minorEastAsia" w:hAnsiTheme="minorEastAsia" w:eastAsiaTheme="minorEastAsia"/>
          <w:b/>
          <w:color w:val="000000" w:themeColor="text1"/>
          <w:kern w:val="0"/>
          <w:sz w:val="28"/>
          <w:szCs w:val="28"/>
          <w14:textFill>
            <w14:solidFill>
              <w14:schemeClr w14:val="tx1"/>
            </w14:solidFill>
          </w14:textFill>
        </w:rPr>
        <w:br w:type="page"/>
      </w:r>
    </w:p>
    <w:p w14:paraId="46EE2A45">
      <w:pPr>
        <w:spacing w:line="360" w:lineRule="auto"/>
        <w:ind w:firstLine="562" w:firstLineChars="200"/>
        <w:rPr>
          <w:rFonts w:cs="宋体" w:asciiTheme="minorEastAsia" w:hAnsiTheme="minorEastAsia" w:eastAsiaTheme="minorEastAsia"/>
          <w:b/>
          <w:color w:val="000000" w:themeColor="text1"/>
          <w:kern w:val="0"/>
          <w:sz w:val="28"/>
          <w:szCs w:val="28"/>
          <w14:textFill>
            <w14:solidFill>
              <w14:schemeClr w14:val="tx1"/>
            </w14:solidFill>
          </w14:textFill>
        </w:rPr>
      </w:pPr>
      <w:r>
        <w:rPr>
          <w:rFonts w:hint="eastAsia" w:cs="宋体" w:asciiTheme="minorEastAsia" w:hAnsiTheme="minorEastAsia" w:eastAsiaTheme="minorEastAsia"/>
          <w:b/>
          <w:color w:val="000000" w:themeColor="text1"/>
          <w:kern w:val="0"/>
          <w:sz w:val="28"/>
          <w:szCs w:val="28"/>
          <w14:textFill>
            <w14:solidFill>
              <w14:schemeClr w14:val="tx1"/>
            </w14:solidFill>
          </w14:textFill>
        </w:rPr>
        <w:t>五、商务要求</w:t>
      </w:r>
    </w:p>
    <w:p w14:paraId="48B367CE">
      <w:pPr>
        <w:spacing w:line="360" w:lineRule="auto"/>
        <w:ind w:firstLine="560" w:firstLineChars="200"/>
        <w:rPr>
          <w:rFonts w:ascii="宋体" w:hAnsi="宋体" w:eastAsia="宋体" w:cs="宋体"/>
          <w:bCs/>
          <w:kern w:val="0"/>
          <w:sz w:val="28"/>
          <w:szCs w:val="28"/>
        </w:rPr>
      </w:pPr>
      <w:r>
        <w:rPr>
          <w:rFonts w:hint="eastAsia" w:cs="宋体" w:asciiTheme="minorEastAsia" w:hAnsiTheme="minorEastAsia" w:eastAsiaTheme="minorEastAsia"/>
          <w:bCs/>
          <w:kern w:val="0"/>
          <w:sz w:val="28"/>
          <w:szCs w:val="28"/>
        </w:rPr>
        <w:t>1.</w:t>
      </w:r>
      <w:r>
        <w:rPr>
          <w:rFonts w:hint="eastAsia" w:ascii="宋体" w:hAnsi="宋体" w:eastAsia="宋体" w:cs="宋体"/>
          <w:bCs/>
          <w:kern w:val="0"/>
          <w:sz w:val="28"/>
          <w:szCs w:val="28"/>
        </w:rPr>
        <w:t>安全责任：本项目安全措施由投标人制定方案及组织实施，并承担全部安全责任，采购人不负责任何伤亡、劳保福利以及施工中材料被盗等责任</w:t>
      </w:r>
      <w:r>
        <w:rPr>
          <w:rFonts w:hint="eastAsia" w:cs="宋体" w:asciiTheme="minorEastAsia" w:hAnsiTheme="minorEastAsia" w:eastAsiaTheme="minorEastAsia"/>
          <w:bCs/>
          <w:kern w:val="0"/>
          <w:sz w:val="28"/>
          <w:szCs w:val="28"/>
        </w:rPr>
        <w:t>。</w:t>
      </w:r>
    </w:p>
    <w:p w14:paraId="0A689815">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w:t>
      </w:r>
      <w:r>
        <w:rPr>
          <w:rFonts w:hint="eastAsia" w:ascii="宋体" w:hAnsi="宋体" w:eastAsia="宋体" w:cs="宋体"/>
          <w:bCs/>
          <w:kern w:val="0"/>
          <w:sz w:val="28"/>
          <w:szCs w:val="28"/>
        </w:rPr>
        <w:t>消防责任：本项目消防措施由投标人制定方案及组织实施，严格按照相关规定进行操作。凡在施工期间因投标人过失引起的火灾事故应由投标人负责，所造成的经济损失由投标人负责全额赔偿</w:t>
      </w:r>
      <w:r>
        <w:rPr>
          <w:rFonts w:hint="eastAsia" w:cs="宋体" w:asciiTheme="minorEastAsia" w:hAnsiTheme="minorEastAsia" w:eastAsiaTheme="minorEastAsia"/>
          <w:bCs/>
          <w:kern w:val="0"/>
          <w:sz w:val="28"/>
          <w:szCs w:val="28"/>
        </w:rPr>
        <w:t>。</w:t>
      </w:r>
    </w:p>
    <w:p w14:paraId="686EFD3E">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3.</w:t>
      </w:r>
      <w:r>
        <w:rPr>
          <w:rFonts w:hint="eastAsia" w:ascii="宋体" w:hAnsi="宋体" w:eastAsia="宋体" w:cs="宋体"/>
          <w:bCs/>
          <w:kern w:val="0"/>
          <w:sz w:val="28"/>
          <w:szCs w:val="28"/>
        </w:rPr>
        <w:t>施工条件：采购人不提供施工所需的食宿、办公、临设及材料加工场地，均由</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自行解决，其费用由</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自理。未经采购人同意，</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不得擅自使用与施工无关的设施设备；不得擅自拆除、变更采购人防护设施及标示；</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的生产用水、电按采购人指定地点，由</w:t>
      </w:r>
      <w:r>
        <w:rPr>
          <w:rFonts w:hint="eastAsia" w:ascii="宋体" w:hAnsi="宋体" w:eastAsia="宋体" w:cs="宋体"/>
          <w:bCs/>
          <w:kern w:val="0"/>
          <w:sz w:val="28"/>
          <w:szCs w:val="28"/>
          <w:lang w:eastAsia="zh-CN"/>
        </w:rPr>
        <w:t>中标供应商</w:t>
      </w:r>
      <w:r>
        <w:rPr>
          <w:rFonts w:hint="eastAsia" w:ascii="宋体" w:hAnsi="宋体" w:eastAsia="宋体" w:cs="宋体"/>
          <w:bCs/>
          <w:kern w:val="0"/>
          <w:sz w:val="28"/>
          <w:szCs w:val="28"/>
        </w:rPr>
        <w:t>驳接。施工过程中需使用电、水</w:t>
      </w:r>
      <w:r>
        <w:rPr>
          <w:rFonts w:hint="eastAsia" w:cs="宋体" w:asciiTheme="minorEastAsia" w:hAnsiTheme="minorEastAsia" w:eastAsiaTheme="minorEastAsia"/>
          <w:bCs/>
          <w:kern w:val="0"/>
          <w:sz w:val="28"/>
          <w:szCs w:val="28"/>
        </w:rPr>
        <w:t>源、通用资源，应事先与采购人取得联系，不得私拉乱接。中断作业或遇故障应立即切断有关电源开关。</w:t>
      </w:r>
    </w:p>
    <w:p w14:paraId="6FAE1665">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4.文明施工：</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施工过程中应做到工完、料尽、场地清，确保安全文明施工。降低噪音，不影响正常教学；每日清运垃圾，保持场地整洁。</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任何时间内应保持现场运输道路通畅，以便应急采取必要措施。</w:t>
      </w:r>
    </w:p>
    <w:p w14:paraId="0F5C77F4">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5.监督检查：</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必须接受采购人的监督、检查，对采购人提出的安全整改意见必须及时整改。</w:t>
      </w:r>
    </w:p>
    <w:p w14:paraId="226B9BA1">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6.标牌设置：</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需现场设置安全、消防、宣传、警示等各种标牌。</w:t>
      </w:r>
    </w:p>
    <w:p w14:paraId="1D3920D1">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7.本项目实施过程中须按国家、相关行业规定执行。若</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未按国家、相关行业规定执行所造成损失由</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全部承担，且采购人有权向其追究相关责任。</w:t>
      </w:r>
    </w:p>
    <w:p w14:paraId="507E08AC">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8.付款方式：按项目需求完成全部内容并验收合格后，</w:t>
      </w:r>
      <w:r>
        <w:rPr>
          <w:rFonts w:hint="eastAsia" w:cs="宋体" w:asciiTheme="minorEastAsia" w:hAnsiTheme="minorEastAsia" w:eastAsiaTheme="minorEastAsia"/>
          <w:bCs/>
          <w:kern w:val="0"/>
          <w:sz w:val="28"/>
          <w:szCs w:val="28"/>
          <w:lang w:eastAsia="zh-CN"/>
        </w:rPr>
        <w:t>中标供应商</w:t>
      </w:r>
      <w:r>
        <w:rPr>
          <w:rFonts w:hint="eastAsia" w:cs="宋体" w:asciiTheme="minorEastAsia" w:hAnsiTheme="minorEastAsia" w:eastAsiaTheme="minorEastAsia"/>
          <w:bCs/>
          <w:kern w:val="0"/>
          <w:sz w:val="28"/>
          <w:szCs w:val="28"/>
        </w:rPr>
        <w:t>在15个工作日内按合同总价的100％开具发票交</w:t>
      </w:r>
      <w:r>
        <w:rPr>
          <w:rFonts w:hint="eastAsia" w:cs="宋体" w:asciiTheme="minorEastAsia" w:hAnsiTheme="minorEastAsia" w:eastAsiaTheme="minorEastAsia"/>
          <w:bCs/>
          <w:kern w:val="0"/>
          <w:sz w:val="28"/>
          <w:szCs w:val="28"/>
          <w:lang w:val="en-US" w:eastAsia="zh-CN"/>
        </w:rPr>
        <w:t>采购人</w:t>
      </w:r>
      <w:r>
        <w:rPr>
          <w:rFonts w:hint="eastAsia" w:cs="宋体" w:asciiTheme="minorEastAsia" w:hAnsiTheme="minorEastAsia" w:eastAsiaTheme="minorEastAsia"/>
          <w:bCs/>
          <w:kern w:val="0"/>
          <w:sz w:val="28"/>
          <w:szCs w:val="28"/>
        </w:rPr>
        <w:t>办理支付手续，待</w:t>
      </w:r>
      <w:r>
        <w:rPr>
          <w:rFonts w:hint="eastAsia" w:cs="宋体" w:asciiTheme="minorEastAsia" w:hAnsiTheme="minorEastAsia" w:eastAsiaTheme="minorEastAsia"/>
          <w:bCs/>
          <w:kern w:val="0"/>
          <w:sz w:val="28"/>
          <w:szCs w:val="28"/>
          <w:lang w:val="en-US" w:eastAsia="zh-CN"/>
        </w:rPr>
        <w:t>采购人</w:t>
      </w:r>
      <w:r>
        <w:rPr>
          <w:rFonts w:hint="eastAsia" w:cs="宋体" w:asciiTheme="minorEastAsia" w:hAnsiTheme="minorEastAsia" w:eastAsiaTheme="minorEastAsia"/>
          <w:bCs/>
          <w:kern w:val="0"/>
          <w:sz w:val="28"/>
          <w:szCs w:val="28"/>
        </w:rPr>
        <w:t>资金到位后支付。</w:t>
      </w:r>
    </w:p>
    <w:p w14:paraId="17BA7AB2">
      <w:pPr>
        <w:spacing w:line="360" w:lineRule="auto"/>
        <w:ind w:firstLine="562" w:firstLineChars="200"/>
        <w:rPr>
          <w:rFonts w:ascii="宋体" w:hAnsi="宋体" w:eastAsia="宋体"/>
          <w:b/>
          <w:sz w:val="28"/>
          <w:szCs w:val="28"/>
        </w:rPr>
      </w:pPr>
      <w:r>
        <w:rPr>
          <w:rFonts w:hint="eastAsia" w:ascii="宋体" w:hAnsi="宋体" w:eastAsia="宋体"/>
          <w:b/>
          <w:sz w:val="28"/>
          <w:szCs w:val="28"/>
        </w:rPr>
        <w:t>注：付款时间为采购人向财政支付部门提出支付申请的时间（不含政府财政支付部门和采购人财务部门审查的时间）。</w:t>
      </w:r>
    </w:p>
    <w:p w14:paraId="6227A1C1">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9.质量保修期：2年，自本项目验收合格之日起计算。保修范围包括但不限于：发光字、灯带、展柜、荣誉墙、文化墙、吧台、木塑地板、遮阳棚、玻璃贴、电气线路等所有由</w:t>
      </w:r>
      <w:r>
        <w:rPr>
          <w:rFonts w:hint="eastAsia" w:cs="宋体" w:asciiTheme="minorEastAsia" w:hAnsiTheme="minorEastAsia" w:eastAsiaTheme="minorEastAsia"/>
          <w:bCs/>
          <w:color w:val="000000" w:themeColor="text1"/>
          <w:kern w:val="0"/>
          <w:sz w:val="28"/>
          <w:szCs w:val="28"/>
          <w:lang w:eastAsia="zh-CN"/>
          <w14:textFill>
            <w14:solidFill>
              <w14:schemeClr w14:val="tx1"/>
            </w14:solidFill>
          </w14:textFill>
        </w:rPr>
        <w:t>中标供应商</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施工的内容。</w:t>
      </w:r>
    </w:p>
    <w:p w14:paraId="075F323C">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（1）在保修期内，凡因施工质量或材料缺陷导致的问题，</w:t>
      </w:r>
      <w:r>
        <w:rPr>
          <w:rFonts w:hint="eastAsia" w:cs="宋体" w:asciiTheme="minorEastAsia" w:hAnsiTheme="minorEastAsia" w:eastAsiaTheme="minorEastAsia"/>
          <w:bCs/>
          <w:color w:val="000000" w:themeColor="text1"/>
          <w:kern w:val="0"/>
          <w:sz w:val="28"/>
          <w:szCs w:val="28"/>
          <w:lang w:eastAsia="zh-CN"/>
          <w14:textFill>
            <w14:solidFill>
              <w14:schemeClr w14:val="tx1"/>
            </w14:solidFill>
          </w14:textFill>
        </w:rPr>
        <w:t>中标供应商</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应负责免费维修、更换或返工处理，并承担由此产生的一切费用（包括但不限于材料费、人工费、运输费、清洁费等）。</w:t>
      </w:r>
    </w:p>
    <w:p w14:paraId="7E732888">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（2）保修响应要求：</w:t>
      </w:r>
      <w:r>
        <w:rPr>
          <w:rFonts w:hint="eastAsia" w:cs="宋体" w:asciiTheme="minorEastAsia" w:hAnsiTheme="minorEastAsia" w:eastAsiaTheme="minorEastAsia"/>
          <w:bCs/>
          <w:color w:val="000000" w:themeColor="text1"/>
          <w:kern w:val="0"/>
          <w:sz w:val="28"/>
          <w:szCs w:val="28"/>
          <w:lang w:eastAsia="zh-CN"/>
          <w14:textFill>
            <w14:solidFill>
              <w14:schemeClr w14:val="tx1"/>
            </w14:solidFill>
          </w14:textFill>
        </w:rPr>
        <w:t>中标供应商</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须在接到采购人通知后24小时内响应、48小时内派员到现场处理；一般性问题应在72小时内修复完毕；若影响正常使用（如照明失效等），须在24小时内完成应急处理，必要时提供临时替代方案。</w:t>
      </w:r>
    </w:p>
    <w:p w14:paraId="6DC0C2BD">
      <w:pPr>
        <w:widowControl/>
        <w:spacing w:line="360" w:lineRule="auto"/>
        <w:ind w:firstLine="562" w:firstLineChars="200"/>
        <w:rPr>
          <w:rFonts w:cs="宋体" w:asciiTheme="minorEastAsia" w:hAnsiTheme="minorEastAsia" w:eastAsiaTheme="minorEastAsia"/>
          <w:b/>
          <w:color w:val="000000" w:themeColor="text1"/>
          <w:kern w:val="0"/>
          <w:sz w:val="28"/>
          <w:szCs w:val="28"/>
          <w14:textFill>
            <w14:solidFill>
              <w14:schemeClr w14:val="tx1"/>
            </w14:solidFill>
          </w14:textFill>
        </w:rPr>
      </w:pPr>
      <w:r>
        <w:rPr>
          <w:rFonts w:hint="eastAsia" w:cs="宋体" w:asciiTheme="minorEastAsia" w:hAnsiTheme="minorEastAsia" w:eastAsiaTheme="minorEastAsia"/>
          <w:b/>
          <w:color w:val="000000" w:themeColor="text1"/>
          <w:kern w:val="0"/>
          <w:sz w:val="28"/>
          <w:szCs w:val="28"/>
          <w14:textFill>
            <w14:solidFill>
              <w14:schemeClr w14:val="tx1"/>
            </w14:solidFill>
          </w14:textFill>
        </w:rPr>
        <w:t>六、报价要求</w:t>
      </w:r>
    </w:p>
    <w:p w14:paraId="4D07CC8E">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1.本项目采用总价包干模式，报价范围涵盖工程量清单所包含的全部内容，具体包括施工、材料、机械、质量、工期、安全、安全文明施工、清运、环境卫生及竣工验收等。项目实施所需的一切费用均已包含在报价中，采购人不再另行支付中标价以外的其他款项。项目报价不得超过设定的最高限价，否则将被认定为无效投标。</w:t>
      </w:r>
    </w:p>
    <w:p w14:paraId="183E1098">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2.本次报价应基于现场勘察情况进行编制，本技术要求中所列工作量、预算报告等资料仅做参考用途，具体工作量以现场实际测量结果及采购人指令为准。</w:t>
      </w:r>
    </w:p>
    <w:p w14:paraId="174000A2">
      <w:pPr>
        <w:pStyle w:val="40"/>
        <w:spacing w:line="520" w:lineRule="exact"/>
        <w:ind w:firstLine="562" w:firstLineChars="200"/>
        <w:jc w:val="both"/>
        <w:rPr>
          <w:rFonts w:hint="default" w:cs="宋体" w:asciiTheme="minorEastAsia" w:hAnsiTheme="minorEastAsia"/>
          <w:b/>
          <w:color w:val="000000" w:themeColor="text1"/>
          <w:sz w:val="28"/>
          <w:szCs w:val="28"/>
          <w14:textFill>
            <w14:solidFill>
              <w14:schemeClr w14:val="tx1"/>
            </w14:solidFill>
          </w14:textFill>
        </w:rPr>
      </w:pPr>
      <w:r>
        <w:rPr>
          <w:rFonts w:cs="宋体" w:asciiTheme="minorEastAsia" w:hAnsiTheme="minorEastAsia"/>
          <w:b/>
          <w:color w:val="000000" w:themeColor="text1"/>
          <w:sz w:val="28"/>
          <w:szCs w:val="28"/>
          <w14:textFill>
            <w14:solidFill>
              <w14:schemeClr w14:val="tx1"/>
            </w14:solidFill>
          </w14:textFill>
        </w:rPr>
        <w:t>七、质量和验收要求</w:t>
      </w:r>
    </w:p>
    <w:p w14:paraId="70B1CD38">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1.质量符合国家有关施工质量验收标准的合格工程或合同约定。工程规范以现行的或承担具体施工任务期间国家和行业新颁布施行的规范、规程为准。</w:t>
      </w:r>
    </w:p>
    <w:p w14:paraId="5BBEE26A">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2.项目质量应达到国家质量评定合格标准。</w:t>
      </w:r>
    </w:p>
    <w:p w14:paraId="1FD123E1">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3.由于投标人提供的材料、设备质量不合格而影响工程质量，其返工费用由投标人承担，工期不顺延。</w:t>
      </w:r>
    </w:p>
    <w:p w14:paraId="1215A4BA">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4.若因投标人原因导致发生质量或安全事故，由此产生的返工费用由投标人自行承担，且工期不予顺延。</w:t>
      </w:r>
    </w:p>
    <w:p w14:paraId="117B4A58">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5.项目完成后，投标人应通知采购人验收，采购人自接到验收通知5日内组织验收，并办理验收、移交手续。</w:t>
      </w:r>
    </w:p>
    <w:p w14:paraId="2A6A9C3E">
      <w:pPr>
        <w:pStyle w:val="40"/>
        <w:spacing w:line="520" w:lineRule="exact"/>
        <w:ind w:firstLine="560"/>
        <w:rPr>
          <w:rFonts w:hint="default" w:cs="宋体" w:asciiTheme="minorEastAsia" w:hAnsiTheme="minorEastAsia"/>
          <w:b/>
          <w:color w:val="000000" w:themeColor="text1"/>
          <w:sz w:val="28"/>
          <w:szCs w:val="28"/>
          <w14:textFill>
            <w14:solidFill>
              <w14:schemeClr w14:val="tx1"/>
            </w14:solidFill>
          </w14:textFill>
        </w:rPr>
      </w:pPr>
      <w:r>
        <w:rPr>
          <w:rFonts w:cs="宋体" w:asciiTheme="minorEastAsia" w:hAnsiTheme="minorEastAsia"/>
          <w:b/>
          <w:color w:val="000000" w:themeColor="text1"/>
          <w:sz w:val="28"/>
          <w:szCs w:val="28"/>
          <w14:textFill>
            <w14:solidFill>
              <w14:schemeClr w14:val="tx1"/>
            </w14:solidFill>
          </w14:textFill>
        </w:rPr>
        <w:t>八、投标报价及评标方法</w:t>
      </w:r>
    </w:p>
    <w:p w14:paraId="0F88B1D3">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ascii="宋体" w:hAnsi="宋体" w:eastAsia="宋体" w:cs="宋体"/>
          <w:bCs/>
          <w:color w:val="000000" w:themeColor="text1"/>
          <w:kern w:val="0"/>
          <w:sz w:val="28"/>
          <w:szCs w:val="28"/>
          <w14:textFill>
            <w14:solidFill>
              <w14:schemeClr w14:val="tx1"/>
            </w14:solidFill>
          </w14:textFill>
        </w:rPr>
        <w:t>1.</w:t>
      </w:r>
      <w:r>
        <w:rPr>
          <w:rFonts w:ascii="宋体" w:hAnsi="宋体" w:eastAsia="宋体" w:cs="宋体"/>
          <w:bCs/>
          <w:color w:val="000000" w:themeColor="text1"/>
          <w:kern w:val="0"/>
          <w:sz w:val="28"/>
          <w:szCs w:val="28"/>
          <w14:textFill>
            <w14:solidFill>
              <w14:schemeClr w14:val="tx1"/>
            </w14:solidFill>
          </w14:textFill>
        </w:rPr>
        <w:t>投标方应依据</w:t>
      </w:r>
      <w:r>
        <w:rPr>
          <w:rFonts w:hint="eastAsia" w:ascii="宋体" w:hAnsi="宋体" w:eastAsia="宋体" w:cs="宋体"/>
          <w:bCs/>
          <w:color w:val="000000" w:themeColor="text1"/>
          <w:kern w:val="0"/>
          <w:sz w:val="28"/>
          <w:szCs w:val="28"/>
          <w14:textFill>
            <w14:solidFill>
              <w14:schemeClr w14:val="tx1"/>
            </w14:solidFill>
          </w14:textFill>
        </w:rPr>
        <w:t>招标公告的</w:t>
      </w:r>
      <w:r>
        <w:rPr>
          <w:rFonts w:ascii="宋体" w:hAnsi="宋体" w:eastAsia="宋体" w:cs="宋体"/>
          <w:bCs/>
          <w:color w:val="000000" w:themeColor="text1"/>
          <w:kern w:val="0"/>
          <w:sz w:val="28"/>
          <w:szCs w:val="28"/>
          <w14:textFill>
            <w14:solidFill>
              <w14:schemeClr w14:val="tx1"/>
            </w14:solidFill>
          </w14:textFill>
        </w:rPr>
        <w:t>《项目报价表》（附件</w:t>
      </w:r>
      <w:r>
        <w:rPr>
          <w:rFonts w:hint="eastAsia" w:ascii="宋体" w:hAnsi="宋体" w:eastAsia="宋体" w:cs="宋体"/>
          <w:bCs/>
          <w:color w:val="000000" w:themeColor="text1"/>
          <w:kern w:val="0"/>
          <w:sz w:val="28"/>
          <w:szCs w:val="28"/>
          <w14:textFill>
            <w14:solidFill>
              <w14:schemeClr w14:val="tx1"/>
            </w14:solidFill>
          </w14:textFill>
        </w:rPr>
        <w:t>2</w:t>
      </w:r>
      <w:r>
        <w:rPr>
          <w:rFonts w:ascii="宋体" w:hAnsi="宋体" w:eastAsia="宋体" w:cs="宋体"/>
          <w:bCs/>
          <w:color w:val="000000" w:themeColor="text1"/>
          <w:kern w:val="0"/>
          <w:sz w:val="28"/>
          <w:szCs w:val="28"/>
          <w14:textFill>
            <w14:solidFill>
              <w14:schemeClr w14:val="tx1"/>
            </w14:solidFill>
          </w14:textFill>
        </w:rPr>
        <w:t>）以及现场勘察结果，认真填写</w:t>
      </w:r>
      <w:r>
        <w:rPr>
          <w:rFonts w:hint="eastAsia" w:ascii="宋体" w:hAnsi="宋体" w:eastAsia="宋体" w:cs="宋体"/>
          <w:bCs/>
          <w:color w:val="000000" w:themeColor="text1"/>
          <w:kern w:val="0"/>
          <w:sz w:val="28"/>
          <w:szCs w:val="28"/>
          <w14:textFill>
            <w14:solidFill>
              <w14:schemeClr w14:val="tx1"/>
            </w14:solidFill>
          </w14:textFill>
        </w:rPr>
        <w:t>项目</w:t>
      </w:r>
      <w:r>
        <w:rPr>
          <w:rFonts w:ascii="宋体" w:hAnsi="宋体" w:eastAsia="宋体" w:cs="宋体"/>
          <w:bCs/>
          <w:color w:val="000000" w:themeColor="text1"/>
          <w:kern w:val="0"/>
          <w:sz w:val="28"/>
          <w:szCs w:val="28"/>
          <w14:textFill>
            <w14:solidFill>
              <w14:schemeClr w14:val="tx1"/>
            </w14:solidFill>
          </w14:textFill>
        </w:rPr>
        <w:t>报价表以提交投标报价。投标报价不得超出项目预算金额，若报价超出预算，将被视为无效报价。</w:t>
      </w:r>
    </w:p>
    <w:p w14:paraId="710D645C">
      <w:pPr>
        <w:spacing w:line="360" w:lineRule="auto"/>
        <w:ind w:firstLine="560" w:firstLineChars="200"/>
        <w:rPr>
          <w:rFonts w:hint="eastAsia" w:ascii="宋体" w:hAnsi="宋体" w:eastAsia="宋体" w:cs="宋体"/>
          <w:b w:val="0"/>
          <w:bCs/>
          <w:color w:val="000000" w:themeColor="text1"/>
          <w:kern w:val="0"/>
          <w:sz w:val="28"/>
          <w:szCs w:val="28"/>
          <w14:textFill>
            <w14:solidFill>
              <w14:schemeClr w14:val="tx1"/>
            </w14:solidFill>
          </w14:textFill>
        </w:rPr>
      </w:pPr>
      <w:r>
        <w:rPr>
          <w:rFonts w:hint="eastAsia" w:ascii="宋体" w:hAnsi="宋体" w:eastAsia="宋体" w:cs="宋体"/>
          <w:bCs/>
          <w:color w:val="000000" w:themeColor="text1"/>
          <w:kern w:val="0"/>
          <w:sz w:val="28"/>
          <w:szCs w:val="28"/>
          <w14:textFill>
            <w14:solidFill>
              <w14:schemeClr w14:val="tx1"/>
            </w14:solidFill>
          </w14:textFill>
        </w:rPr>
        <w:t>2.本项目评标方法采用综合评分法。</w:t>
      </w:r>
    </w:p>
    <w:p w14:paraId="2F979FA4">
      <w:pPr>
        <w:spacing w:line="360" w:lineRule="auto"/>
        <w:ind w:firstLine="560" w:firstLineChars="200"/>
        <w:rPr>
          <w:rFonts w:cs="宋体" w:asciiTheme="minorEastAsia" w:hAnsiTheme="minorEastAsia" w:eastAsiaTheme="minorEastAsia"/>
          <w:bCs/>
          <w:kern w:val="0"/>
          <w:sz w:val="28"/>
          <w:szCs w:val="28"/>
        </w:rPr>
      </w:pPr>
    </w:p>
    <w:p w14:paraId="3723DE77">
      <w:pPr>
        <w:jc w:val="center"/>
        <w:rPr>
          <w:rFonts w:ascii="宋体" w:hAnsi="宋体" w:cs="宋体"/>
          <w:b/>
          <w:szCs w:val="30"/>
        </w:rPr>
      </w:pPr>
    </w:p>
    <w:p w14:paraId="45B98B93">
      <w:pPr>
        <w:jc w:val="center"/>
        <w:rPr>
          <w:rFonts w:ascii="宋体" w:hAnsi="宋体" w:cs="宋体"/>
          <w:b/>
          <w:szCs w:val="30"/>
        </w:rPr>
      </w:pPr>
    </w:p>
    <w:p w14:paraId="096EAFED">
      <w:pPr>
        <w:jc w:val="center"/>
        <w:rPr>
          <w:rFonts w:ascii="宋体" w:hAnsi="宋体" w:cs="宋体"/>
          <w:b/>
          <w:szCs w:val="30"/>
        </w:rPr>
      </w:pPr>
    </w:p>
    <w:p w14:paraId="290103E2">
      <w:pPr>
        <w:widowControl/>
        <w:jc w:val="left"/>
        <w:rPr>
          <w:rFonts w:ascii="宋体" w:hAnsi="宋体" w:eastAsia="宋体" w:cs="宋体"/>
          <w:sz w:val="28"/>
          <w:szCs w:val="28"/>
        </w:rPr>
      </w:pPr>
      <w:r>
        <w:rPr>
          <w:rFonts w:hint="eastAsia" w:ascii="宋体" w:hAnsi="宋体" w:eastAsia="宋体" w:cs="宋体"/>
          <w:sz w:val="28"/>
          <w:szCs w:val="28"/>
        </w:rPr>
        <w:br w:type="page"/>
      </w:r>
    </w:p>
    <w:p w14:paraId="420A878D">
      <w:pPr>
        <w:widowControl/>
        <w:rPr>
          <w:rFonts w:hint="eastAsia" w:ascii="宋体" w:hAnsi="宋体" w:eastAsia="宋体" w:cs="宋体"/>
          <w:sz w:val="28"/>
          <w:szCs w:val="28"/>
        </w:rPr>
      </w:pPr>
      <w:r>
        <w:rPr>
          <w:rFonts w:hint="eastAsia" w:ascii="宋体" w:hAnsi="宋体" w:eastAsia="宋体" w:cs="宋体"/>
          <w:sz w:val="28"/>
          <w:szCs w:val="28"/>
        </w:rPr>
        <w:t>附件</w:t>
      </w:r>
    </w:p>
    <w:p w14:paraId="123E55EC">
      <w:pPr>
        <w:widowControl/>
        <w:rPr>
          <w:rFonts w:ascii="宋体" w:hAnsi="宋体" w:eastAsia="宋体" w:cs="宋体"/>
          <w:b/>
          <w:bCs/>
          <w:sz w:val="44"/>
          <w:szCs w:val="44"/>
        </w:rPr>
      </w:pPr>
      <w:r>
        <w:rPr>
          <w:rFonts w:hint="eastAsia" w:ascii="宋体" w:hAnsi="宋体" w:eastAsia="宋体" w:cs="宋体"/>
          <w:sz w:val="28"/>
          <w:szCs w:val="28"/>
        </w:rPr>
        <w:t xml:space="preserve"> </w:t>
      </w:r>
      <w:r>
        <w:rPr>
          <w:rFonts w:hint="eastAsia" w:ascii="宋体" w:hAnsi="宋体" w:eastAsia="宋体" w:cs="宋体"/>
          <w:b/>
          <w:bCs/>
          <w:sz w:val="44"/>
          <w:szCs w:val="44"/>
        </w:rPr>
        <w:t xml:space="preserve">             江门市技师学院</w:t>
      </w:r>
    </w:p>
    <w:p w14:paraId="0B2D2EEF">
      <w:pPr>
        <w:spacing w:after="408" w:afterLines="100" w:line="560" w:lineRule="exact"/>
        <w:jc w:val="center"/>
        <w:rPr>
          <w:rFonts w:ascii="宋体" w:hAnsi="宋体" w:eastAsia="宋体" w:cs="宋体"/>
          <w:b/>
          <w:bCs/>
          <w:sz w:val="44"/>
          <w:szCs w:val="44"/>
        </w:rPr>
      </w:pPr>
      <w:r>
        <w:rPr>
          <w:rFonts w:hint="eastAsia" w:ascii="宋体" w:hAnsi="宋体" w:eastAsia="宋体" w:cs="宋体"/>
          <w:b/>
          <w:bCs/>
          <w:sz w:val="44"/>
          <w:szCs w:val="44"/>
        </w:rPr>
        <w:t>“科创一条街”建设方案</w:t>
      </w:r>
    </w:p>
    <w:p w14:paraId="05F75668">
      <w:pPr>
        <w:pStyle w:val="3"/>
        <w:numPr>
          <w:ilvl w:val="0"/>
          <w:numId w:val="1"/>
        </w:numPr>
        <w:spacing w:before="0" w:line="560" w:lineRule="exact"/>
        <w:ind w:firstLine="602" w:firstLineChars="200"/>
        <w:rPr>
          <w:rFonts w:ascii="Times New Roman" w:hAnsi="Times New Roman" w:eastAsia="黑体"/>
          <w:sz w:val="30"/>
          <w:szCs w:val="30"/>
        </w:rPr>
      </w:pPr>
      <w:r>
        <w:rPr>
          <w:rFonts w:ascii="Times New Roman" w:hAnsi="Times New Roman" w:eastAsia="黑体"/>
          <w:sz w:val="30"/>
          <w:szCs w:val="30"/>
        </w:rPr>
        <w:t>项目概况</w:t>
      </w:r>
    </w:p>
    <w:p w14:paraId="3C41B750">
      <w:pPr>
        <w:pStyle w:val="4"/>
        <w:spacing w:beforeAutospacing="0" w:after="81" w:afterLines="2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（一）项目基本信息</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5"/>
        <w:gridCol w:w="6526"/>
      </w:tblGrid>
      <w:tr w14:paraId="4DBD2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2265" w:type="dxa"/>
            <w:shd w:val="clear" w:color="auto" w:fill="D9D9D9"/>
            <w:vAlign w:val="center"/>
          </w:tcPr>
          <w:p w14:paraId="6ACD79AE">
            <w:pPr>
              <w:jc w:val="center"/>
              <w:rPr>
                <w:rFonts w:ascii="仿宋" w:hAnsi="仿宋" w:eastAsia="仿宋" w:cs="仿宋"/>
                <w:sz w:val="28"/>
                <w:szCs w:val="28"/>
              </w:rPr>
            </w:pPr>
            <w:r>
              <w:rPr>
                <w:rFonts w:hint="eastAsia" w:ascii="仿宋" w:hAnsi="仿宋" w:eastAsia="仿宋" w:cs="仿宋"/>
                <w:b/>
                <w:color w:val="000000"/>
                <w:sz w:val="28"/>
                <w:szCs w:val="28"/>
              </w:rPr>
              <w:t>项目要素</w:t>
            </w:r>
          </w:p>
        </w:tc>
        <w:tc>
          <w:tcPr>
            <w:tcW w:w="6526" w:type="dxa"/>
            <w:shd w:val="clear" w:color="auto" w:fill="D9D9D9"/>
            <w:vAlign w:val="center"/>
          </w:tcPr>
          <w:p w14:paraId="7BBA3077">
            <w:pPr>
              <w:jc w:val="center"/>
              <w:rPr>
                <w:rFonts w:ascii="仿宋" w:hAnsi="仿宋" w:eastAsia="仿宋" w:cs="仿宋"/>
                <w:sz w:val="28"/>
                <w:szCs w:val="28"/>
              </w:rPr>
            </w:pPr>
            <w:r>
              <w:rPr>
                <w:rFonts w:hint="eastAsia" w:ascii="仿宋" w:hAnsi="仿宋" w:eastAsia="仿宋" w:cs="仿宋"/>
                <w:b/>
                <w:color w:val="000000"/>
                <w:sz w:val="28"/>
                <w:szCs w:val="28"/>
              </w:rPr>
              <w:t>内容说明</w:t>
            </w:r>
          </w:p>
        </w:tc>
      </w:tr>
      <w:tr w14:paraId="6D1E6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265" w:type="dxa"/>
            <w:shd w:val="clear" w:color="auto" w:fill="FFFFFF"/>
            <w:vAlign w:val="center"/>
          </w:tcPr>
          <w:p w14:paraId="5A23C5CB">
            <w:pPr>
              <w:jc w:val="center"/>
              <w:rPr>
                <w:rFonts w:ascii="仿宋" w:hAnsi="仿宋" w:eastAsia="仿宋" w:cs="仿宋"/>
                <w:sz w:val="28"/>
                <w:szCs w:val="28"/>
              </w:rPr>
            </w:pPr>
            <w:r>
              <w:rPr>
                <w:rFonts w:hint="eastAsia" w:ascii="仿宋" w:hAnsi="仿宋" w:eastAsia="仿宋" w:cs="仿宋"/>
                <w:color w:val="000000"/>
                <w:sz w:val="28"/>
                <w:szCs w:val="28"/>
              </w:rPr>
              <w:t>项目名称</w:t>
            </w:r>
          </w:p>
        </w:tc>
        <w:tc>
          <w:tcPr>
            <w:tcW w:w="6526" w:type="dxa"/>
            <w:shd w:val="clear" w:color="auto" w:fill="FFFFFF"/>
            <w:vAlign w:val="center"/>
          </w:tcPr>
          <w:p w14:paraId="7C4B557B">
            <w:pPr>
              <w:jc w:val="left"/>
              <w:rPr>
                <w:rFonts w:ascii="仿宋" w:hAnsi="仿宋" w:eastAsia="仿宋" w:cs="仿宋"/>
                <w:sz w:val="28"/>
                <w:szCs w:val="28"/>
              </w:rPr>
            </w:pPr>
            <w:r>
              <w:rPr>
                <w:rFonts w:hint="eastAsia" w:ascii="仿宋" w:hAnsi="仿宋" w:eastAsia="仿宋" w:cs="仿宋"/>
                <w:color w:val="000000"/>
                <w:sz w:val="28"/>
                <w:szCs w:val="28"/>
              </w:rPr>
              <w:t>江门市技师学院“科创一条街”建设项目</w:t>
            </w:r>
          </w:p>
        </w:tc>
      </w:tr>
      <w:tr w14:paraId="6817F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265" w:type="dxa"/>
            <w:shd w:val="clear" w:color="auto" w:fill="FFFFFF"/>
            <w:vAlign w:val="center"/>
          </w:tcPr>
          <w:p w14:paraId="018CFF8F">
            <w:pPr>
              <w:jc w:val="center"/>
              <w:rPr>
                <w:rFonts w:ascii="仿宋" w:hAnsi="仿宋" w:eastAsia="仿宋" w:cs="仿宋"/>
                <w:sz w:val="28"/>
                <w:szCs w:val="28"/>
              </w:rPr>
            </w:pPr>
            <w:r>
              <w:rPr>
                <w:rFonts w:hint="eastAsia" w:ascii="仿宋" w:hAnsi="仿宋" w:eastAsia="仿宋" w:cs="仿宋"/>
                <w:color w:val="000000"/>
                <w:sz w:val="28"/>
                <w:szCs w:val="28"/>
              </w:rPr>
              <w:t>项目地点</w:t>
            </w:r>
          </w:p>
        </w:tc>
        <w:tc>
          <w:tcPr>
            <w:tcW w:w="6526" w:type="dxa"/>
            <w:shd w:val="clear" w:color="auto" w:fill="FFFFFF"/>
            <w:vAlign w:val="center"/>
          </w:tcPr>
          <w:p w14:paraId="25F02A45">
            <w:pPr>
              <w:jc w:val="left"/>
              <w:rPr>
                <w:rFonts w:ascii="仿宋" w:hAnsi="仿宋" w:eastAsia="仿宋" w:cs="仿宋"/>
                <w:sz w:val="28"/>
                <w:szCs w:val="28"/>
              </w:rPr>
            </w:pPr>
            <w:r>
              <w:rPr>
                <w:rFonts w:hint="eastAsia" w:ascii="仿宋" w:hAnsi="仿宋" w:eastAsia="仿宋" w:cs="仿宋"/>
                <w:color w:val="000000"/>
                <w:sz w:val="28"/>
                <w:szCs w:val="28"/>
              </w:rPr>
              <w:t>潮连校区5号教学楼侧翼</w:t>
            </w:r>
          </w:p>
        </w:tc>
      </w:tr>
      <w:tr w14:paraId="77330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265" w:type="dxa"/>
            <w:shd w:val="clear" w:color="auto" w:fill="FFFFFF"/>
            <w:vAlign w:val="center"/>
          </w:tcPr>
          <w:p w14:paraId="14C37216">
            <w:pPr>
              <w:jc w:val="center"/>
              <w:rPr>
                <w:rFonts w:ascii="仿宋" w:hAnsi="仿宋" w:eastAsia="仿宋" w:cs="仿宋"/>
                <w:sz w:val="28"/>
                <w:szCs w:val="28"/>
              </w:rPr>
            </w:pPr>
            <w:r>
              <w:rPr>
                <w:rFonts w:hint="eastAsia" w:ascii="仿宋" w:hAnsi="仿宋" w:eastAsia="仿宋" w:cs="仿宋"/>
                <w:color w:val="000000"/>
                <w:sz w:val="28"/>
                <w:szCs w:val="28"/>
              </w:rPr>
              <w:t>完成时间</w:t>
            </w:r>
          </w:p>
        </w:tc>
        <w:tc>
          <w:tcPr>
            <w:tcW w:w="6526" w:type="dxa"/>
            <w:shd w:val="clear" w:color="auto" w:fill="FFFFFF"/>
            <w:vAlign w:val="center"/>
          </w:tcPr>
          <w:p w14:paraId="2DE0E131">
            <w:pPr>
              <w:jc w:val="left"/>
              <w:rPr>
                <w:rFonts w:ascii="仿宋" w:hAnsi="仿宋" w:eastAsia="仿宋" w:cs="仿宋"/>
                <w:sz w:val="28"/>
                <w:szCs w:val="28"/>
              </w:rPr>
            </w:pPr>
            <w:r>
              <w:rPr>
                <w:rFonts w:hint="eastAsia" w:ascii="仿宋" w:hAnsi="仿宋" w:eastAsia="仿宋" w:cs="仿宋"/>
                <w:color w:val="000000"/>
                <w:sz w:val="28"/>
                <w:szCs w:val="28"/>
              </w:rPr>
              <w:t>2026年11月底</w:t>
            </w:r>
          </w:p>
        </w:tc>
      </w:tr>
    </w:tbl>
    <w:p w14:paraId="1939483E">
      <w:pPr>
        <w:pStyle w:val="3"/>
        <w:numPr>
          <w:ilvl w:val="0"/>
          <w:numId w:val="1"/>
        </w:numPr>
        <w:spacing w:before="0" w:line="560" w:lineRule="exact"/>
        <w:ind w:firstLine="602" w:firstLineChars="200"/>
        <w:rPr>
          <w:rFonts w:ascii="Times New Roman" w:hAnsi="Times New Roman" w:eastAsia="黑体"/>
          <w:sz w:val="30"/>
          <w:szCs w:val="30"/>
        </w:rPr>
      </w:pPr>
      <w:r>
        <w:rPr>
          <w:rFonts w:ascii="Times New Roman" w:hAnsi="Times New Roman" w:eastAsia="黑体"/>
          <w:sz w:val="30"/>
          <w:szCs w:val="30"/>
        </w:rPr>
        <w:t>建设内容及布局</w:t>
      </w:r>
      <w:r>
        <w:rPr>
          <w:rFonts w:hint="eastAsia" w:ascii="Times New Roman" w:hAnsi="Times New Roman" w:eastAsia="黑体"/>
          <w:sz w:val="30"/>
          <w:szCs w:val="30"/>
        </w:rPr>
        <w:t xml:space="preserve"> </w:t>
      </w:r>
    </w:p>
    <w:p w14:paraId="13542A1C">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本项目为潮连校区“科创一条街”建设项目，沿街按“街区立牌—茶水休闲角—成果展示—咖啡阁”逻辑布局：入口设置街区立牌，街头设置茶水休闲角，中部设置科技成果展厅和咖啡阁，并配套水电接通、街区玻璃贴膜和防撞腰线。</w:t>
      </w:r>
    </w:p>
    <w:p w14:paraId="56181701">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（一）街区立牌</w:t>
      </w:r>
    </w:p>
    <w:p w14:paraId="0FB606E2">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在街区入口设置街区立牌与项目简介，配置标识及发光字“科创一条街”、学院LOGO、项目简介，主色调科技蓝；同步对围墙、地面进行绿化与清理。</w:t>
      </w:r>
    </w:p>
    <w:p w14:paraId="7E12C7A0">
      <w:pPr>
        <w:jc w:val="center"/>
        <w:rPr>
          <w:rFonts w:ascii="楷体" w:hAnsi="楷体" w:eastAsia="楷体" w:cs="楷体"/>
          <w:b/>
          <w:bCs/>
          <w:color w:val="000000"/>
          <w:szCs w:val="30"/>
        </w:rPr>
      </w:pPr>
      <w:r>
        <w:rPr>
          <w:rFonts w:hint="eastAsia" w:ascii="楷体" w:hAnsi="楷体" w:eastAsia="楷体" w:cs="楷体"/>
          <w:b/>
          <w:bCs/>
          <w:color w:val="000000"/>
          <w:szCs w:val="30"/>
        </w:rPr>
        <w:drawing>
          <wp:inline distT="0" distB="0" distL="114300" distR="114300">
            <wp:extent cx="4301490" cy="3241040"/>
            <wp:effectExtent l="0" t="0" r="3810" b="16510"/>
            <wp:docPr id="7" name="图片 7" descr="b01f020833ff3b33087901470af2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01f020833ff3b33087901470af25291"/>
                    <pic:cNvPicPr>
                      <a:picLocks noChangeAspect="1"/>
                    </pic:cNvPicPr>
                  </pic:nvPicPr>
                  <pic:blipFill>
                    <a:blip r:embed="rId10"/>
                    <a:stretch>
                      <a:fillRect/>
                    </a:stretch>
                  </pic:blipFill>
                  <pic:spPr>
                    <a:xfrm>
                      <a:off x="0" y="0"/>
                      <a:ext cx="4301490" cy="3241040"/>
                    </a:xfrm>
                    <a:prstGeom prst="rect">
                      <a:avLst/>
                    </a:prstGeom>
                  </pic:spPr>
                </pic:pic>
              </a:graphicData>
            </a:graphic>
          </wp:inline>
        </w:drawing>
      </w:r>
    </w:p>
    <w:p w14:paraId="0E373C62">
      <w:pPr>
        <w:jc w:val="center"/>
        <w:rPr>
          <w:rFonts w:ascii="楷体" w:hAnsi="楷体" w:eastAsia="楷体" w:cs="楷体"/>
          <w:b/>
          <w:bCs/>
          <w:color w:val="000000"/>
          <w:szCs w:val="30"/>
        </w:rPr>
      </w:pPr>
    </w:p>
    <w:p w14:paraId="47F376D0">
      <w:pPr>
        <w:ind w:firstLine="602" w:firstLineChars="200"/>
        <w:jc w:val="both"/>
        <w:rPr>
          <w:rFonts w:ascii="楷体" w:hAnsi="楷体" w:eastAsia="楷体" w:cs="楷体"/>
          <w:b/>
          <w:bCs/>
          <w:color w:val="000000"/>
          <w:szCs w:val="30"/>
        </w:rPr>
      </w:pPr>
      <w:r>
        <w:rPr>
          <w:rFonts w:hint="eastAsia" w:ascii="楷体" w:hAnsi="楷体" w:eastAsia="楷体" w:cs="楷体"/>
          <w:b/>
          <w:bCs/>
          <w:color w:val="000000"/>
          <w:szCs w:val="30"/>
        </w:rPr>
        <w:t>（二）茶水休闲角</w:t>
      </w:r>
    </w:p>
    <w:p w14:paraId="1B289E14">
      <w:pPr>
        <w:pStyle w:val="4"/>
        <w:spacing w:beforeAutospacing="0" w:afterAutospacing="0" w:line="560" w:lineRule="exact"/>
        <w:ind w:firstLine="600" w:firstLineChars="200"/>
        <w:jc w:val="both"/>
        <w:rPr>
          <w:rFonts w:hint="default" w:ascii="仿宋" w:hAnsi="仿宋" w:eastAsia="仿宋" w:cs="仿宋"/>
          <w:b w:val="0"/>
          <w:bCs w:val="0"/>
          <w:color w:val="000000"/>
          <w:kern w:val="2"/>
          <w:sz w:val="30"/>
          <w:szCs w:val="30"/>
        </w:rPr>
      </w:pPr>
      <w:r>
        <w:rPr>
          <w:rFonts w:ascii="仿宋" w:hAnsi="仿宋" w:eastAsia="仿宋" w:cs="仿宋"/>
          <w:b w:val="0"/>
          <w:bCs w:val="0"/>
          <w:color w:val="000000"/>
          <w:kern w:val="2"/>
          <w:sz w:val="30"/>
          <w:szCs w:val="30"/>
        </w:rPr>
        <w:t>该区域水泥地面加宽，铺装木塑地板，配置直饮水、洗手盆、休闲桌椅，兼顾师生日常服务与休闲交流。</w:t>
      </w:r>
    </w:p>
    <w:p w14:paraId="1E49EAFF">
      <w:pPr>
        <w:pStyle w:val="4"/>
        <w:spacing w:before="122" w:beforeLines="30" w:beforeAutospacing="0" w:afterAutospacing="0"/>
        <w:jc w:val="center"/>
        <w:rPr>
          <w:rFonts w:hint="default"/>
        </w:rPr>
      </w:pPr>
      <w:r>
        <w:drawing>
          <wp:inline distT="0" distB="0" distL="114300" distR="114300">
            <wp:extent cx="4636135" cy="3405505"/>
            <wp:effectExtent l="0" t="0" r="12065" b="4445"/>
            <wp:docPr id="4" name="图片 4" descr="76012365aa979753f17e324cb72dfd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6012365aa979753f17e324cb72dfd53"/>
                    <pic:cNvPicPr>
                      <a:picLocks noChangeAspect="1"/>
                    </pic:cNvPicPr>
                  </pic:nvPicPr>
                  <pic:blipFill>
                    <a:blip r:embed="rId11"/>
                    <a:srcRect t="23937"/>
                    <a:stretch>
                      <a:fillRect/>
                    </a:stretch>
                  </pic:blipFill>
                  <pic:spPr>
                    <a:xfrm>
                      <a:off x="0" y="0"/>
                      <a:ext cx="4636135" cy="3405505"/>
                    </a:xfrm>
                    <a:prstGeom prst="rect">
                      <a:avLst/>
                    </a:prstGeom>
                  </pic:spPr>
                </pic:pic>
              </a:graphicData>
            </a:graphic>
          </wp:inline>
        </w:drawing>
      </w:r>
    </w:p>
    <w:p w14:paraId="352CF226">
      <w:pPr>
        <w:spacing w:line="400" w:lineRule="exact"/>
        <w:jc w:val="center"/>
      </w:pPr>
      <w:r>
        <w:rPr>
          <w:rFonts w:hint="eastAsia" w:ascii="仿宋" w:hAnsi="仿宋" w:eastAsia="仿宋" w:cs="仿宋"/>
          <w:color w:val="000000"/>
          <w:sz w:val="24"/>
          <w:szCs w:val="24"/>
        </w:rPr>
        <w:t>街区立牌、茶水休闲角设计效果图</w:t>
      </w:r>
    </w:p>
    <w:p w14:paraId="2F758759">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p>
    <w:p w14:paraId="0E6C1B36">
      <w:pPr>
        <w:rPr>
          <w:rFonts w:ascii="楷体" w:hAnsi="楷体" w:eastAsia="楷体" w:cs="楷体"/>
          <w:b/>
          <w:bCs/>
          <w:color w:val="000000"/>
          <w:szCs w:val="30"/>
        </w:rPr>
      </w:pPr>
      <w:r>
        <w:rPr>
          <w:rFonts w:hint="eastAsia" w:ascii="楷体" w:hAnsi="楷体" w:eastAsia="楷体" w:cs="楷体"/>
          <w:b/>
          <w:bCs/>
          <w:color w:val="000000"/>
          <w:szCs w:val="30"/>
        </w:rPr>
        <w:br w:type="page"/>
      </w:r>
    </w:p>
    <w:p w14:paraId="2565B972">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（三）科创成果展厅</w:t>
      </w:r>
    </w:p>
    <w:p w14:paraId="13D05794">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展厅按科创专利墙、科创经验做法、获奖项目简介、科创合作伙伴四个版块内容呈现，兼设项目路演、荣誉墙、展柜等。</w:t>
      </w:r>
    </w:p>
    <w:p w14:paraId="06A5A6D0">
      <w:pPr>
        <w:pStyle w:val="4"/>
        <w:spacing w:before="122" w:beforeLines="30" w:beforeAutospacing="0" w:afterAutospacing="0"/>
        <w:jc w:val="center"/>
        <w:rPr>
          <w:rFonts w:hint="default" w:ascii="楷体" w:hAnsi="楷体" w:eastAsia="楷体" w:cs="楷体"/>
          <w:color w:val="000000"/>
          <w:kern w:val="2"/>
          <w:sz w:val="30"/>
          <w:szCs w:val="30"/>
        </w:rPr>
      </w:pPr>
      <w:r>
        <w:rPr>
          <w:rFonts w:ascii="楷体" w:hAnsi="楷体" w:eastAsia="楷体" w:cs="楷体"/>
          <w:color w:val="000000"/>
          <w:kern w:val="2"/>
          <w:sz w:val="30"/>
          <w:szCs w:val="30"/>
        </w:rPr>
        <w:drawing>
          <wp:inline distT="0" distB="0" distL="114300" distR="114300">
            <wp:extent cx="5190490" cy="2331720"/>
            <wp:effectExtent l="0" t="0" r="10160" b="11430"/>
            <wp:docPr id="5" name="图片 5" descr="6b429846b8d8a4b71174e6f2fff8b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b429846b8d8a4b71174e6f2fff8b123"/>
                    <pic:cNvPicPr>
                      <a:picLocks noChangeAspect="1"/>
                    </pic:cNvPicPr>
                  </pic:nvPicPr>
                  <pic:blipFill>
                    <a:blip r:embed="rId12"/>
                    <a:stretch>
                      <a:fillRect/>
                    </a:stretch>
                  </pic:blipFill>
                  <pic:spPr>
                    <a:xfrm>
                      <a:off x="0" y="0"/>
                      <a:ext cx="5190490" cy="2331720"/>
                    </a:xfrm>
                    <a:prstGeom prst="rect">
                      <a:avLst/>
                    </a:prstGeom>
                  </pic:spPr>
                </pic:pic>
              </a:graphicData>
            </a:graphic>
          </wp:inline>
        </w:drawing>
      </w:r>
    </w:p>
    <w:p w14:paraId="2BF9F05C">
      <w:pPr>
        <w:spacing w:line="240" w:lineRule="exact"/>
        <w:jc w:val="center"/>
        <w:rPr>
          <w:rFonts w:ascii="仿宋" w:hAnsi="仿宋" w:eastAsia="仿宋" w:cs="仿宋"/>
          <w:color w:val="000000"/>
          <w:sz w:val="24"/>
          <w:szCs w:val="24"/>
        </w:rPr>
      </w:pPr>
      <w:r>
        <w:rPr>
          <w:rFonts w:hint="eastAsia" w:ascii="仿宋" w:hAnsi="仿宋" w:eastAsia="仿宋" w:cs="仿宋"/>
          <w:color w:val="000000"/>
          <w:sz w:val="24"/>
          <w:szCs w:val="24"/>
        </w:rPr>
        <w:t>科创成果展厅设计效果图</w:t>
      </w:r>
    </w:p>
    <w:p w14:paraId="29757619">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（四）咖啡阁</w:t>
      </w:r>
    </w:p>
    <w:p w14:paraId="4FBBDB9E">
      <w:pPr>
        <w:ind w:firstLine="600" w:firstLineChars="200"/>
        <w:rPr>
          <w:rFonts w:ascii="宋体" w:hAnsi="宋体" w:eastAsia="宋体" w:cs="宋体"/>
          <w:color w:val="000000"/>
          <w:szCs w:val="30"/>
        </w:rPr>
      </w:pPr>
      <w:r>
        <w:rPr>
          <w:rFonts w:hint="eastAsia" w:ascii="仿宋" w:hAnsi="仿宋" w:eastAsia="仿宋" w:cs="仿宋"/>
          <w:color w:val="000000"/>
          <w:szCs w:val="30"/>
        </w:rPr>
        <w:t>该区域水泥地面加宽，铺装木塑地板，配置大理石吧台与清洗操作台，“创业神树”围挡、地面开切、装饰，配休闲桌椅、遮阳设施与绿化，营造休闲交流氛围。</w:t>
      </w:r>
    </w:p>
    <w:p w14:paraId="430F2FBA">
      <w:pPr>
        <w:spacing w:line="400" w:lineRule="exact"/>
        <w:ind w:firstLine="3840" w:firstLineChars="1600"/>
        <w:rPr>
          <w:rFonts w:ascii="仿宋" w:hAnsi="仿宋" w:eastAsia="仿宋" w:cs="仿宋"/>
          <w:color w:val="000000"/>
          <w:sz w:val="24"/>
          <w:szCs w:val="24"/>
        </w:rPr>
      </w:pPr>
      <w:r>
        <w:rPr>
          <w:rFonts w:hint="eastAsia" w:ascii="仿宋" w:hAnsi="仿宋" w:eastAsia="仿宋" w:cs="仿宋"/>
          <w:color w:val="000000"/>
          <w:sz w:val="24"/>
          <w:szCs w:val="24"/>
        </w:rPr>
        <w:drawing>
          <wp:anchor distT="0" distB="0" distL="114300" distR="114300" simplePos="0" relativeHeight="251659264" behindDoc="0" locked="0" layoutInCell="1" allowOverlap="1">
            <wp:simplePos x="0" y="0"/>
            <wp:positionH relativeFrom="column">
              <wp:posOffset>967740</wp:posOffset>
            </wp:positionH>
            <wp:positionV relativeFrom="paragraph">
              <wp:posOffset>74295</wp:posOffset>
            </wp:positionV>
            <wp:extent cx="3651250" cy="3644265"/>
            <wp:effectExtent l="0" t="0" r="6350" b="13335"/>
            <wp:wrapTopAndBottom/>
            <wp:docPr id="9" name="图片 9" descr="795066b1ebedd1db307a45f3f3de3e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95066b1ebedd1db307a45f3f3de3e3d"/>
                    <pic:cNvPicPr>
                      <a:picLocks noChangeAspect="1"/>
                    </pic:cNvPicPr>
                  </pic:nvPicPr>
                  <pic:blipFill>
                    <a:blip r:embed="rId13"/>
                    <a:stretch>
                      <a:fillRect/>
                    </a:stretch>
                  </pic:blipFill>
                  <pic:spPr>
                    <a:xfrm>
                      <a:off x="0" y="0"/>
                      <a:ext cx="3651250" cy="3644265"/>
                    </a:xfrm>
                    <a:prstGeom prst="rect">
                      <a:avLst/>
                    </a:prstGeom>
                  </pic:spPr>
                </pic:pic>
              </a:graphicData>
            </a:graphic>
          </wp:anchor>
        </w:drawing>
      </w:r>
      <w:r>
        <w:rPr>
          <w:rFonts w:hint="eastAsia" w:ascii="仿宋" w:hAnsi="仿宋" w:eastAsia="仿宋" w:cs="仿宋"/>
          <w:color w:val="000000"/>
          <w:sz w:val="24"/>
          <w:szCs w:val="24"/>
        </w:rPr>
        <w:t>咖啡阁设计效果图</w:t>
      </w:r>
    </w:p>
    <w:p w14:paraId="6DFA3C24">
      <w:pPr>
        <w:spacing w:line="400" w:lineRule="exact"/>
        <w:rPr>
          <w:rFonts w:ascii="仿宋" w:hAnsi="仿宋" w:eastAsia="仿宋" w:cs="仿宋"/>
          <w:color w:val="000000"/>
          <w:sz w:val="24"/>
          <w:szCs w:val="24"/>
        </w:rPr>
      </w:pPr>
    </w:p>
    <w:p w14:paraId="4123EFFB">
      <w:pPr>
        <w:pStyle w:val="4"/>
        <w:spacing w:beforeAutospacing="0" w:afterAutospacing="0" w:line="560" w:lineRule="exact"/>
        <w:ind w:firstLine="602" w:firstLineChars="200"/>
        <w:jc w:val="both"/>
        <w:rPr>
          <w:rFonts w:hint="default" w:ascii="楷体" w:hAnsi="楷体" w:eastAsia="楷体" w:cs="楷体"/>
          <w:color w:val="000000"/>
          <w:kern w:val="2"/>
          <w:sz w:val="30"/>
          <w:szCs w:val="30"/>
        </w:rPr>
      </w:pPr>
      <w:r>
        <w:rPr>
          <w:rFonts w:ascii="楷体" w:hAnsi="楷体" w:eastAsia="楷体" w:cs="楷体"/>
          <w:color w:val="000000"/>
          <w:kern w:val="2"/>
          <w:sz w:val="30"/>
          <w:szCs w:val="30"/>
        </w:rPr>
        <w:t>（五）街区玻璃贴纸</w:t>
      </w:r>
    </w:p>
    <w:p w14:paraId="4808A028">
      <w:pPr>
        <w:ind w:firstLine="600" w:firstLineChars="200"/>
        <w:rPr>
          <w:rFonts w:ascii="宋体" w:hAnsi="宋体" w:eastAsia="宋体" w:cs="宋体"/>
          <w:color w:val="000000"/>
          <w:sz w:val="32"/>
          <w:szCs w:val="32"/>
        </w:rPr>
      </w:pPr>
      <w:r>
        <w:rPr>
          <w:rFonts w:hint="eastAsia" w:ascii="仿宋" w:hAnsi="仿宋" w:eastAsia="仿宋" w:cs="仿宋"/>
          <w:color w:val="000000"/>
          <w:szCs w:val="30"/>
        </w:rPr>
        <w:t>集装箱房玻璃幕墙中部偏下位置，贴蓝色腰线和磨沙玻璃纸。</w:t>
      </w:r>
    </w:p>
    <w:p w14:paraId="5DE01F22">
      <w:pPr>
        <w:jc w:val="center"/>
        <w:rPr>
          <w:rFonts w:eastAsiaTheme="minorEastAsia"/>
        </w:rPr>
      </w:pPr>
      <w:r>
        <w:rPr>
          <w:rFonts w:hint="eastAsia" w:eastAsiaTheme="minorEastAsia"/>
        </w:rPr>
        <w:drawing>
          <wp:inline distT="0" distB="0" distL="114300" distR="114300">
            <wp:extent cx="4384675" cy="3890645"/>
            <wp:effectExtent l="0" t="0" r="15875" b="14605"/>
            <wp:docPr id="11" name="图片 11" descr="85fa066e2c55662ebb11958f1a92b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5fa066e2c55662ebb11958f1a92b415"/>
                    <pic:cNvPicPr>
                      <a:picLocks noChangeAspect="1"/>
                    </pic:cNvPicPr>
                  </pic:nvPicPr>
                  <pic:blipFill>
                    <a:blip r:embed="rId14"/>
                    <a:srcRect t="21432" b="28357"/>
                    <a:stretch>
                      <a:fillRect/>
                    </a:stretch>
                  </pic:blipFill>
                  <pic:spPr>
                    <a:xfrm>
                      <a:off x="0" y="0"/>
                      <a:ext cx="4384675" cy="3890645"/>
                    </a:xfrm>
                    <a:prstGeom prst="rect">
                      <a:avLst/>
                    </a:prstGeom>
                  </pic:spPr>
                </pic:pic>
              </a:graphicData>
            </a:graphic>
          </wp:inline>
        </w:drawing>
      </w:r>
    </w:p>
    <w:p w14:paraId="2ED4949F">
      <w:pPr>
        <w:spacing w:line="400" w:lineRule="exact"/>
        <w:jc w:val="center"/>
        <w:rPr>
          <w:rFonts w:ascii="仿宋" w:hAnsi="仿宋" w:eastAsia="仿宋" w:cs="仿宋"/>
          <w:color w:val="000000"/>
          <w:sz w:val="24"/>
          <w:szCs w:val="24"/>
        </w:rPr>
      </w:pPr>
      <w:r>
        <w:rPr>
          <w:rFonts w:hint="eastAsia" w:ascii="仿宋" w:hAnsi="仿宋" w:eastAsia="仿宋" w:cs="仿宋"/>
          <w:color w:val="000000"/>
          <w:sz w:val="24"/>
          <w:szCs w:val="24"/>
        </w:rPr>
        <w:t>街区玻璃贴纸效果图</w:t>
      </w:r>
    </w:p>
    <w:p w14:paraId="55B26092">
      <w:pPr>
        <w:pStyle w:val="3"/>
        <w:numPr>
          <w:ilvl w:val="0"/>
          <w:numId w:val="1"/>
        </w:numPr>
        <w:spacing w:before="0" w:line="560" w:lineRule="exact"/>
        <w:ind w:firstLine="602" w:firstLineChars="200"/>
        <w:rPr>
          <w:rFonts w:ascii="Times New Roman" w:hAnsi="Times New Roman" w:eastAsia="黑体"/>
          <w:sz w:val="30"/>
          <w:szCs w:val="30"/>
        </w:rPr>
      </w:pPr>
      <w:r>
        <w:rPr>
          <w:rFonts w:ascii="Times New Roman" w:hAnsi="Times New Roman" w:eastAsia="黑体"/>
          <w:sz w:val="30"/>
          <w:szCs w:val="30"/>
        </w:rPr>
        <w:t>建设组织方案</w:t>
      </w:r>
    </w:p>
    <w:p w14:paraId="7BA12313">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现场复测 → 深化设计 → 街区立牌施工 → 茶水休闲角及咖啡阁施工 → 科创展厅布展 → 水电接通 → 精修与清洁 → 验收移交。</w:t>
      </w:r>
    </w:p>
    <w:p w14:paraId="17C60164">
      <w:pPr>
        <w:pStyle w:val="3"/>
        <w:numPr>
          <w:ilvl w:val="255"/>
          <w:numId w:val="0"/>
        </w:numPr>
        <w:spacing w:before="0" w:line="560" w:lineRule="exact"/>
        <w:ind w:firstLine="602" w:firstLineChars="200"/>
        <w:rPr>
          <w:rFonts w:ascii="Times New Roman" w:hAnsi="Times New Roman" w:eastAsia="黑体"/>
          <w:sz w:val="30"/>
          <w:szCs w:val="30"/>
        </w:rPr>
      </w:pPr>
      <w:r>
        <w:rPr>
          <w:rFonts w:ascii="Times New Roman" w:hAnsi="Times New Roman" w:eastAsia="黑体"/>
          <w:sz w:val="30"/>
          <w:szCs w:val="30"/>
        </w:rPr>
        <w:t>四、进度计划</w:t>
      </w:r>
    </w:p>
    <w:p w14:paraId="54372AF6">
      <w:pPr>
        <w:spacing w:after="81" w:afterLines="20" w:line="560" w:lineRule="exact"/>
        <w:ind w:firstLine="600" w:firstLineChars="200"/>
        <w:rPr>
          <w:rFonts w:ascii="宋体" w:hAnsi="宋体" w:eastAsia="宋体" w:cs="宋体"/>
          <w:color w:val="000000"/>
          <w:szCs w:val="30"/>
        </w:rPr>
      </w:pPr>
      <w:r>
        <w:rPr>
          <w:rFonts w:hint="eastAsia" w:ascii="仿宋" w:hAnsi="仿宋" w:eastAsia="仿宋" w:cs="仿宋"/>
          <w:color w:val="000000"/>
          <w:szCs w:val="30"/>
        </w:rPr>
        <w:t>项目总体工期约25—30天，采用交叉施工、错峰作业方式。</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37"/>
        <w:gridCol w:w="1710"/>
        <w:gridCol w:w="3613"/>
        <w:gridCol w:w="2417"/>
      </w:tblGrid>
      <w:tr w14:paraId="55DAD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1337" w:type="dxa"/>
            <w:shd w:val="clear" w:color="auto" w:fill="D9D9D9"/>
            <w:vAlign w:val="center"/>
          </w:tcPr>
          <w:p w14:paraId="10568EC7">
            <w:pPr>
              <w:spacing w:before="40" w:after="40" w:line="400" w:lineRule="exact"/>
              <w:jc w:val="left"/>
              <w:rPr>
                <w:rFonts w:ascii="仿宋" w:hAnsi="仿宋" w:eastAsia="仿宋" w:cs="仿宋"/>
                <w:b/>
                <w:bCs/>
                <w:color w:val="000000"/>
                <w:sz w:val="28"/>
                <w:szCs w:val="28"/>
              </w:rPr>
            </w:pPr>
            <w:r>
              <w:rPr>
                <w:rFonts w:hint="eastAsia" w:ascii="仿宋" w:hAnsi="仿宋" w:eastAsia="仿宋" w:cs="仿宋"/>
                <w:b/>
                <w:bCs/>
                <w:color w:val="000000"/>
                <w:sz w:val="28"/>
                <w:szCs w:val="28"/>
              </w:rPr>
              <w:t>阶段</w:t>
            </w:r>
          </w:p>
        </w:tc>
        <w:tc>
          <w:tcPr>
            <w:tcW w:w="1710" w:type="dxa"/>
            <w:shd w:val="clear" w:color="auto" w:fill="D9D9D9"/>
            <w:vAlign w:val="center"/>
          </w:tcPr>
          <w:p w14:paraId="606FAD7E">
            <w:pPr>
              <w:spacing w:before="40" w:after="40" w:line="400" w:lineRule="exact"/>
              <w:jc w:val="left"/>
              <w:rPr>
                <w:rFonts w:ascii="仿宋" w:hAnsi="仿宋" w:eastAsia="仿宋" w:cs="仿宋"/>
                <w:b/>
                <w:bCs/>
                <w:color w:val="000000"/>
                <w:sz w:val="28"/>
                <w:szCs w:val="28"/>
              </w:rPr>
            </w:pPr>
            <w:r>
              <w:rPr>
                <w:rFonts w:hint="eastAsia" w:ascii="仿宋" w:hAnsi="仿宋" w:eastAsia="仿宋" w:cs="仿宋"/>
                <w:b/>
                <w:bCs/>
                <w:color w:val="000000"/>
                <w:sz w:val="28"/>
                <w:szCs w:val="28"/>
              </w:rPr>
              <w:t>时间</w:t>
            </w:r>
          </w:p>
        </w:tc>
        <w:tc>
          <w:tcPr>
            <w:tcW w:w="3613" w:type="dxa"/>
            <w:shd w:val="clear" w:color="auto" w:fill="D9D9D9"/>
            <w:vAlign w:val="center"/>
          </w:tcPr>
          <w:p w14:paraId="586A0245">
            <w:pPr>
              <w:spacing w:before="40" w:after="40" w:line="400" w:lineRule="exact"/>
              <w:jc w:val="left"/>
              <w:rPr>
                <w:rFonts w:ascii="仿宋" w:hAnsi="仿宋" w:eastAsia="仿宋" w:cs="仿宋"/>
                <w:b/>
                <w:bCs/>
                <w:color w:val="000000"/>
                <w:sz w:val="28"/>
                <w:szCs w:val="28"/>
              </w:rPr>
            </w:pPr>
            <w:r>
              <w:rPr>
                <w:rFonts w:hint="eastAsia" w:ascii="仿宋" w:hAnsi="仿宋" w:eastAsia="仿宋" w:cs="仿宋"/>
                <w:b/>
                <w:bCs/>
                <w:color w:val="000000"/>
                <w:sz w:val="28"/>
                <w:szCs w:val="28"/>
              </w:rPr>
              <w:t>主要内容</w:t>
            </w:r>
          </w:p>
        </w:tc>
        <w:tc>
          <w:tcPr>
            <w:tcW w:w="2417" w:type="dxa"/>
            <w:shd w:val="clear" w:color="auto" w:fill="D9D9D9"/>
            <w:vAlign w:val="center"/>
          </w:tcPr>
          <w:p w14:paraId="1045A7D7">
            <w:pPr>
              <w:spacing w:before="40" w:after="40" w:line="400" w:lineRule="exact"/>
              <w:jc w:val="left"/>
              <w:rPr>
                <w:rFonts w:ascii="仿宋" w:hAnsi="仿宋" w:eastAsia="仿宋" w:cs="仿宋"/>
                <w:b/>
                <w:bCs/>
                <w:color w:val="000000"/>
                <w:sz w:val="28"/>
                <w:szCs w:val="28"/>
              </w:rPr>
            </w:pPr>
            <w:r>
              <w:rPr>
                <w:rFonts w:hint="eastAsia" w:ascii="仿宋" w:hAnsi="仿宋" w:eastAsia="仿宋" w:cs="仿宋"/>
                <w:b/>
                <w:bCs/>
                <w:color w:val="000000"/>
                <w:sz w:val="28"/>
                <w:szCs w:val="28"/>
              </w:rPr>
              <w:t>交付成果</w:t>
            </w:r>
          </w:p>
        </w:tc>
      </w:tr>
      <w:tr w14:paraId="7C879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456888B4">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阶段一</w:t>
            </w:r>
          </w:p>
        </w:tc>
        <w:tc>
          <w:tcPr>
            <w:tcW w:w="1710" w:type="dxa"/>
            <w:shd w:val="clear" w:color="auto" w:fill="FFFFFF"/>
            <w:vAlign w:val="center"/>
          </w:tcPr>
          <w:p w14:paraId="12CC4F08">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5—7天</w:t>
            </w:r>
          </w:p>
        </w:tc>
        <w:tc>
          <w:tcPr>
            <w:tcW w:w="3613" w:type="dxa"/>
            <w:shd w:val="clear" w:color="auto" w:fill="FFFFFF"/>
            <w:vAlign w:val="center"/>
          </w:tcPr>
          <w:p w14:paraId="7004ED78">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方案深化、现场复测、效果图、施工图、清单确认</w:t>
            </w:r>
          </w:p>
        </w:tc>
        <w:tc>
          <w:tcPr>
            <w:tcW w:w="2417" w:type="dxa"/>
            <w:shd w:val="clear" w:color="auto" w:fill="FFFFFF"/>
            <w:vAlign w:val="center"/>
          </w:tcPr>
          <w:p w14:paraId="0C7605E4">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效果图、施工图、材料清单</w:t>
            </w:r>
          </w:p>
        </w:tc>
      </w:tr>
      <w:tr w14:paraId="737CD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4FDAC21D">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阶段二</w:t>
            </w:r>
          </w:p>
        </w:tc>
        <w:tc>
          <w:tcPr>
            <w:tcW w:w="1710" w:type="dxa"/>
            <w:shd w:val="clear" w:color="auto" w:fill="FFFFFF"/>
            <w:vAlign w:val="center"/>
          </w:tcPr>
          <w:p w14:paraId="46A51790">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5—7天</w:t>
            </w:r>
          </w:p>
        </w:tc>
        <w:tc>
          <w:tcPr>
            <w:tcW w:w="3613" w:type="dxa"/>
            <w:shd w:val="clear" w:color="auto" w:fill="FFFFFF"/>
            <w:vAlign w:val="center"/>
          </w:tcPr>
          <w:p w14:paraId="329DAE6B">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街区立牌、标识安装、导视安装</w:t>
            </w:r>
          </w:p>
        </w:tc>
        <w:tc>
          <w:tcPr>
            <w:tcW w:w="2417" w:type="dxa"/>
            <w:shd w:val="clear" w:color="auto" w:fill="FFFFFF"/>
            <w:vAlign w:val="center"/>
          </w:tcPr>
          <w:p w14:paraId="250CB309">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街区立牌、导视</w:t>
            </w:r>
          </w:p>
        </w:tc>
      </w:tr>
      <w:tr w14:paraId="48F4D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7A95507D">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阶段三</w:t>
            </w:r>
          </w:p>
        </w:tc>
        <w:tc>
          <w:tcPr>
            <w:tcW w:w="1710" w:type="dxa"/>
            <w:shd w:val="clear" w:color="auto" w:fill="FFFFFF"/>
            <w:vAlign w:val="center"/>
          </w:tcPr>
          <w:p w14:paraId="605C3A08">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5—7天</w:t>
            </w:r>
          </w:p>
        </w:tc>
        <w:tc>
          <w:tcPr>
            <w:tcW w:w="3613" w:type="dxa"/>
            <w:shd w:val="clear" w:color="auto" w:fill="FFFFFF"/>
            <w:vAlign w:val="center"/>
          </w:tcPr>
          <w:p w14:paraId="4613D72E">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科技成果展厅布展、展柜、荣誉墙、多媒体上墙</w:t>
            </w:r>
          </w:p>
        </w:tc>
        <w:tc>
          <w:tcPr>
            <w:tcW w:w="2417" w:type="dxa"/>
            <w:shd w:val="clear" w:color="auto" w:fill="FFFFFF"/>
            <w:vAlign w:val="center"/>
          </w:tcPr>
          <w:p w14:paraId="309178AD">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展厅</w:t>
            </w:r>
          </w:p>
        </w:tc>
      </w:tr>
      <w:tr w14:paraId="31EBE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5888A5CB">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阶段四</w:t>
            </w:r>
          </w:p>
        </w:tc>
        <w:tc>
          <w:tcPr>
            <w:tcW w:w="1710" w:type="dxa"/>
            <w:shd w:val="clear" w:color="auto" w:fill="FFFFFF"/>
            <w:vAlign w:val="center"/>
          </w:tcPr>
          <w:p w14:paraId="00C70B14">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5—7天</w:t>
            </w:r>
          </w:p>
        </w:tc>
        <w:tc>
          <w:tcPr>
            <w:tcW w:w="3613" w:type="dxa"/>
            <w:shd w:val="clear" w:color="auto" w:fill="FFFFFF"/>
            <w:vAlign w:val="center"/>
          </w:tcPr>
          <w:p w14:paraId="17DB7F24">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茶水服务间、咖啡阁及休闲区落地、水电接通</w:t>
            </w:r>
          </w:p>
        </w:tc>
        <w:tc>
          <w:tcPr>
            <w:tcW w:w="2417" w:type="dxa"/>
            <w:shd w:val="clear" w:color="auto" w:fill="FFFFFF"/>
            <w:vAlign w:val="center"/>
          </w:tcPr>
          <w:p w14:paraId="77195A29">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茶水间、咖啡阁</w:t>
            </w:r>
          </w:p>
        </w:tc>
      </w:tr>
      <w:tr w14:paraId="22683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337" w:type="dxa"/>
            <w:shd w:val="clear" w:color="auto" w:fill="FFFFFF"/>
            <w:vAlign w:val="center"/>
          </w:tcPr>
          <w:p w14:paraId="43BAFD3E">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合计</w:t>
            </w:r>
          </w:p>
        </w:tc>
        <w:tc>
          <w:tcPr>
            <w:tcW w:w="1710" w:type="dxa"/>
            <w:shd w:val="clear" w:color="auto" w:fill="FFFFFF"/>
            <w:vAlign w:val="center"/>
          </w:tcPr>
          <w:p w14:paraId="25A5C9DE">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约25—30天</w:t>
            </w:r>
          </w:p>
        </w:tc>
        <w:tc>
          <w:tcPr>
            <w:tcW w:w="3613" w:type="dxa"/>
            <w:shd w:val="clear" w:color="auto" w:fill="FFFFFF"/>
            <w:vAlign w:val="center"/>
          </w:tcPr>
          <w:p w14:paraId="1D156A39">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交叉施工，错峰作业</w:t>
            </w:r>
          </w:p>
        </w:tc>
        <w:tc>
          <w:tcPr>
            <w:tcW w:w="2417" w:type="dxa"/>
            <w:shd w:val="clear" w:color="auto" w:fill="FFFFFF"/>
            <w:vAlign w:val="center"/>
          </w:tcPr>
          <w:p w14:paraId="6029C25B">
            <w:pPr>
              <w:spacing w:before="40" w:after="40" w:line="400" w:lineRule="exact"/>
              <w:jc w:val="left"/>
              <w:rPr>
                <w:rFonts w:ascii="仿宋" w:hAnsi="仿宋" w:eastAsia="仿宋" w:cs="仿宋"/>
                <w:color w:val="000000"/>
                <w:sz w:val="28"/>
                <w:szCs w:val="28"/>
              </w:rPr>
            </w:pPr>
            <w:r>
              <w:rPr>
                <w:rFonts w:hint="eastAsia" w:ascii="仿宋" w:hAnsi="仿宋" w:eastAsia="仿宋" w:cs="仿宋"/>
                <w:color w:val="000000"/>
                <w:sz w:val="28"/>
                <w:szCs w:val="28"/>
              </w:rPr>
              <w:t>整体验收</w:t>
            </w:r>
          </w:p>
        </w:tc>
      </w:tr>
    </w:tbl>
    <w:p w14:paraId="66F07AEB">
      <w:pPr>
        <w:pStyle w:val="3"/>
        <w:numPr>
          <w:ilvl w:val="0"/>
          <w:numId w:val="0"/>
        </w:numPr>
        <w:spacing w:before="81" w:beforeLines="20" w:line="560" w:lineRule="exact"/>
        <w:ind w:firstLine="602" w:firstLineChars="200"/>
        <w:rPr>
          <w:rFonts w:ascii="Times New Roman" w:hAnsi="Times New Roman" w:eastAsia="黑体"/>
          <w:sz w:val="30"/>
          <w:szCs w:val="30"/>
        </w:rPr>
      </w:pPr>
      <w:r>
        <w:rPr>
          <w:rFonts w:hint="default" w:ascii="Times New Roman" w:hAnsi="Times New Roman" w:eastAsia="黑体" w:cstheme="majorBidi"/>
          <w:b/>
          <w:bCs/>
          <w:color w:val="000000"/>
          <w:sz w:val="30"/>
          <w:szCs w:val="30"/>
          <w:lang w:val="en-US" w:eastAsia="zh-CN"/>
        </w:rPr>
        <w:t>五、</w:t>
      </w:r>
      <w:r>
        <w:rPr>
          <w:rFonts w:ascii="Times New Roman" w:hAnsi="Times New Roman" w:eastAsia="黑体"/>
          <w:sz w:val="30"/>
          <w:szCs w:val="30"/>
        </w:rPr>
        <w:t>质量、安全与文明施工</w:t>
      </w:r>
    </w:p>
    <w:p w14:paraId="2F38C88D">
      <w:pPr>
        <w:spacing w:line="560" w:lineRule="exact"/>
        <w:ind w:firstLine="600" w:firstLineChars="200"/>
        <w:rPr>
          <w:rFonts w:ascii="宋体" w:hAnsi="宋体" w:eastAsia="宋体" w:cs="宋体"/>
          <w:color w:val="000000"/>
          <w:szCs w:val="30"/>
        </w:rPr>
      </w:pPr>
      <w:r>
        <w:rPr>
          <w:rFonts w:hint="eastAsia" w:ascii="仿宋" w:hAnsi="仿宋" w:eastAsia="仿宋" w:cs="仿宋"/>
          <w:color w:val="000000"/>
          <w:szCs w:val="30"/>
        </w:rPr>
        <w:t>严格执行校园施工管理规定，设置警示标识；降低噪音，不影响正常教学；每日清运垃圾，保持场地整洁。</w:t>
      </w:r>
    </w:p>
    <w:p w14:paraId="2405D6A1">
      <w:pPr>
        <w:pStyle w:val="3"/>
        <w:numPr>
          <w:ilvl w:val="255"/>
          <w:numId w:val="0"/>
        </w:numPr>
        <w:spacing w:before="0" w:line="560" w:lineRule="exact"/>
        <w:ind w:firstLine="602" w:firstLineChars="200"/>
        <w:rPr>
          <w:rFonts w:ascii="Times New Roman" w:hAnsi="Times New Roman" w:eastAsia="黑体"/>
          <w:sz w:val="30"/>
          <w:szCs w:val="30"/>
        </w:rPr>
      </w:pPr>
      <w:r>
        <w:rPr>
          <w:rFonts w:hint="eastAsia" w:ascii="Times New Roman" w:hAnsi="Times New Roman" w:eastAsia="黑体"/>
          <w:sz w:val="30"/>
          <w:szCs w:val="30"/>
          <w:lang w:val="en-US" w:eastAsia="zh-CN"/>
        </w:rPr>
        <w:t>六</w:t>
      </w:r>
      <w:r>
        <w:rPr>
          <w:rFonts w:hint="eastAsia" w:ascii="Times New Roman" w:hAnsi="Times New Roman" w:eastAsia="黑体"/>
          <w:sz w:val="30"/>
          <w:szCs w:val="30"/>
        </w:rPr>
        <w:t>、</w:t>
      </w:r>
      <w:r>
        <w:rPr>
          <w:rFonts w:ascii="Times New Roman" w:hAnsi="Times New Roman" w:eastAsia="黑体"/>
          <w:sz w:val="30"/>
          <w:szCs w:val="30"/>
        </w:rPr>
        <w:t>验收与售后</w:t>
      </w:r>
    </w:p>
    <w:p w14:paraId="0D4E5A51">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（一）验收标准：按效果图、施工图、报价清单配合验收。</w:t>
      </w:r>
    </w:p>
    <w:p w14:paraId="0ACA908C">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（二）验收资料：提交竣工图、材料合格证、检测报告。</w:t>
      </w:r>
    </w:p>
    <w:p w14:paraId="54E9463B">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（三）质保期：整体质保2年，发光字等按行业标准执行。</w:t>
      </w:r>
    </w:p>
    <w:p w14:paraId="40175F9B">
      <w:pPr>
        <w:spacing w:line="560" w:lineRule="exact"/>
        <w:ind w:firstLine="600" w:firstLineChars="200"/>
        <w:rPr>
          <w:rFonts w:ascii="仿宋" w:hAnsi="仿宋" w:eastAsia="仿宋" w:cs="仿宋"/>
          <w:color w:val="000000"/>
          <w:szCs w:val="30"/>
        </w:rPr>
      </w:pPr>
      <w:r>
        <w:rPr>
          <w:rFonts w:hint="eastAsia" w:ascii="仿宋" w:hAnsi="仿宋" w:eastAsia="仿宋" w:cs="仿宋"/>
          <w:color w:val="000000"/>
          <w:szCs w:val="30"/>
        </w:rPr>
        <w:t>（四）售后响应：24小时内响应，48小时内到场处理。</w:t>
      </w:r>
    </w:p>
    <w:p w14:paraId="55FF9B15">
      <w:pPr>
        <w:spacing w:line="560" w:lineRule="exact"/>
        <w:ind w:firstLine="600" w:firstLineChars="200"/>
        <w:rPr>
          <w:rFonts w:cs="宋体" w:asciiTheme="minorEastAsia" w:hAnsiTheme="minorEastAsia" w:eastAsiaTheme="minorEastAsia"/>
          <w:sz w:val="36"/>
          <w:szCs w:val="36"/>
        </w:rPr>
      </w:pPr>
      <w:r>
        <w:rPr>
          <w:rFonts w:hint="eastAsia" w:ascii="仿宋" w:hAnsi="仿宋" w:eastAsia="仿宋" w:cs="仿宋"/>
          <w:color w:val="000000"/>
          <w:szCs w:val="30"/>
        </w:rPr>
        <w:t>（五）培训移交：对校方人员进行导视、展陈、设备使用培训。</w:t>
      </w:r>
    </w:p>
    <w:p w14:paraId="34DC4AED">
      <w:pPr>
        <w:jc w:val="center"/>
        <w:rPr>
          <w:rFonts w:cs="宋体" w:asciiTheme="minorEastAsia" w:hAnsiTheme="minorEastAsia" w:eastAsiaTheme="minorEastAsia"/>
          <w:b/>
          <w:bCs/>
          <w:sz w:val="36"/>
          <w:szCs w:val="36"/>
        </w:rPr>
      </w:pPr>
      <w:r>
        <w:rPr>
          <w:rFonts w:hint="eastAsia" w:cs="宋体" w:asciiTheme="minorEastAsia" w:hAnsiTheme="minorEastAsia" w:eastAsiaTheme="minorEastAsia"/>
          <w:b/>
          <w:bCs/>
          <w:sz w:val="36"/>
          <w:szCs w:val="36"/>
        </w:rPr>
        <w:t xml:space="preserve"> </w:t>
      </w:r>
    </w:p>
    <w:p w14:paraId="2E2B03A5">
      <w:pPr>
        <w:jc w:val="left"/>
        <w:rPr>
          <w:rFonts w:cs="宋体" w:asciiTheme="minorEastAsia" w:hAnsiTheme="minorEastAsia" w:eastAsiaTheme="minorEastAsia"/>
          <w:b/>
          <w:bCs/>
          <w:sz w:val="36"/>
          <w:szCs w:val="36"/>
        </w:rPr>
      </w:pPr>
      <w:r>
        <w:rPr>
          <w:rFonts w:hint="eastAsia" w:cs="宋体" w:asciiTheme="minorEastAsia" w:hAnsiTheme="minorEastAsia" w:eastAsiaTheme="minorEastAsia"/>
          <w:b/>
          <w:bCs/>
          <w:sz w:val="36"/>
          <w:szCs w:val="36"/>
        </w:rPr>
        <w:br w:type="page"/>
      </w:r>
    </w:p>
    <w:p w14:paraId="728BB09A">
      <w:pPr>
        <w:numPr>
          <w:ilvl w:val="0"/>
          <w:numId w:val="2"/>
        </w:numPr>
        <w:jc w:val="center"/>
        <w:rPr>
          <w:rFonts w:hint="eastAsia" w:cs="宋体" w:asciiTheme="minorEastAsia" w:hAnsiTheme="minorEastAsia" w:eastAsiaTheme="minorEastAsia"/>
          <w:b/>
          <w:bCs/>
          <w:sz w:val="32"/>
          <w:szCs w:val="32"/>
        </w:rPr>
      </w:pPr>
      <w:r>
        <w:rPr>
          <w:rFonts w:hint="eastAsia" w:cs="宋体" w:asciiTheme="minorEastAsia" w:hAnsiTheme="minorEastAsia" w:eastAsiaTheme="minorEastAsia"/>
          <w:b/>
          <w:bCs/>
          <w:sz w:val="32"/>
          <w:szCs w:val="32"/>
        </w:rPr>
        <w:t xml:space="preserve"> 评分标准</w:t>
      </w:r>
    </w:p>
    <w:p w14:paraId="37D771D1">
      <w:pPr>
        <w:jc w:val="center"/>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评定原则与评标方法</w:t>
      </w:r>
    </w:p>
    <w:p w14:paraId="02BD1C2B">
      <w:pPr>
        <w:pStyle w:val="7"/>
        <w:ind w:firstLine="560"/>
        <w:jc w:val="both"/>
      </w:pPr>
      <w:r>
        <w:rPr>
          <w:rFonts w:hint="eastAsia" w:ascii="宋体" w:hAnsi="宋体" w:eastAsia="宋体" w:cs="宋体"/>
          <w:kern w:val="2"/>
          <w:sz w:val="24"/>
          <w:szCs w:val="24"/>
          <w:lang w:val="en-US" w:eastAsia="zh-CN" w:bidi="ar-SA"/>
        </w:rPr>
        <w:t>本项目评审采用综合评分法，总分值为100分，其中商务部分占20分，技术部分占40分，价格部分占40分。各分项具体评分标准详见下文评分细则。</w:t>
      </w:r>
    </w:p>
    <w:tbl>
      <w:tblPr>
        <w:tblStyle w:val="18"/>
        <w:tblW w:w="1041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788"/>
        <w:gridCol w:w="816"/>
        <w:gridCol w:w="800"/>
        <w:gridCol w:w="7556"/>
      </w:tblGrid>
      <w:tr w14:paraId="523FE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0" w:hRule="atLeast"/>
          <w:jc w:val="center"/>
        </w:trPr>
        <w:tc>
          <w:tcPr>
            <w:tcW w:w="456" w:type="dxa"/>
            <w:vAlign w:val="center"/>
          </w:tcPr>
          <w:p w14:paraId="656ED135">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788" w:type="dxa"/>
            <w:vAlign w:val="center"/>
          </w:tcPr>
          <w:p w14:paraId="734A8FFF">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类别</w:t>
            </w:r>
          </w:p>
        </w:tc>
        <w:tc>
          <w:tcPr>
            <w:tcW w:w="816" w:type="dxa"/>
            <w:vAlign w:val="center"/>
          </w:tcPr>
          <w:p w14:paraId="7E46F019">
            <w:pPr>
              <w:pStyle w:val="4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项目</w:t>
            </w:r>
          </w:p>
        </w:tc>
        <w:tc>
          <w:tcPr>
            <w:tcW w:w="800" w:type="dxa"/>
            <w:vAlign w:val="center"/>
          </w:tcPr>
          <w:p w14:paraId="128DB2D8">
            <w:pPr>
              <w:pStyle w:val="4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配分</w:t>
            </w:r>
          </w:p>
        </w:tc>
        <w:tc>
          <w:tcPr>
            <w:tcW w:w="7556" w:type="dxa"/>
            <w:vAlign w:val="center"/>
          </w:tcPr>
          <w:p w14:paraId="350961BC">
            <w:pPr>
              <w:pStyle w:val="40"/>
              <w:jc w:val="center"/>
              <w:rPr>
                <w:rFonts w:ascii="宋体" w:hAnsi="宋体" w:eastAsia="宋体" w:cs="宋体"/>
                <w:sz w:val="24"/>
                <w:szCs w:val="24"/>
              </w:rPr>
            </w:pPr>
            <w:r>
              <w:rPr>
                <w:rFonts w:hint="eastAsia" w:ascii="宋体" w:hAnsi="宋体" w:eastAsia="宋体" w:cs="宋体"/>
                <w:kern w:val="2"/>
                <w:sz w:val="24"/>
                <w:szCs w:val="24"/>
                <w:lang w:val="en-US" w:eastAsia="zh-CN" w:bidi="ar-SA"/>
              </w:rPr>
              <w:t>具体内容要求</w:t>
            </w:r>
          </w:p>
        </w:tc>
      </w:tr>
      <w:tr w14:paraId="6D4AB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456" w:type="dxa"/>
            <w:vAlign w:val="center"/>
          </w:tcPr>
          <w:p w14:paraId="402A4271">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788" w:type="dxa"/>
            <w:vMerge w:val="restart"/>
            <w:vAlign w:val="center"/>
          </w:tcPr>
          <w:p w14:paraId="49DFA8A8">
            <w:pPr>
              <w:pStyle w:val="40"/>
              <w:jc w:val="center"/>
              <w:rPr>
                <w:rFonts w:ascii="宋体" w:hAnsi="宋体" w:eastAsia="宋体" w:cs="宋体"/>
                <w:sz w:val="24"/>
                <w:szCs w:val="24"/>
              </w:rPr>
            </w:pPr>
            <w:r>
              <w:rPr>
                <w:rFonts w:ascii="宋体" w:hAnsi="宋体" w:eastAsia="宋体" w:cs="宋体"/>
                <w:sz w:val="24"/>
                <w:szCs w:val="24"/>
              </w:rPr>
              <w:t>技术</w:t>
            </w:r>
          </w:p>
          <w:p w14:paraId="645A5369">
            <w:pPr>
              <w:pStyle w:val="40"/>
              <w:jc w:val="center"/>
              <w:rPr>
                <w:rFonts w:ascii="宋体" w:hAnsi="宋体" w:eastAsia="宋体" w:cs="宋体"/>
                <w:sz w:val="24"/>
                <w:szCs w:val="24"/>
              </w:rPr>
            </w:pPr>
            <w:r>
              <w:rPr>
                <w:rFonts w:ascii="宋体" w:hAnsi="宋体" w:eastAsia="宋体" w:cs="宋体"/>
                <w:sz w:val="24"/>
                <w:szCs w:val="24"/>
              </w:rPr>
              <w:t>部分</w:t>
            </w:r>
          </w:p>
        </w:tc>
        <w:tc>
          <w:tcPr>
            <w:tcW w:w="816" w:type="dxa"/>
            <w:vAlign w:val="center"/>
          </w:tcPr>
          <w:p w14:paraId="2424C315">
            <w:pPr>
              <w:pStyle w:val="40"/>
              <w:jc w:val="center"/>
              <w:rPr>
                <w:rFonts w:hint="default" w:ascii="宋体" w:hAnsi="宋体" w:eastAsia="宋体" w:cs="宋体"/>
                <w:sz w:val="24"/>
                <w:szCs w:val="24"/>
              </w:rPr>
            </w:pPr>
            <w:r>
              <w:rPr>
                <w:rFonts w:ascii="宋体" w:hAnsi="宋体" w:eastAsia="宋体" w:cs="宋体"/>
                <w:sz w:val="24"/>
                <w:szCs w:val="24"/>
              </w:rPr>
              <w:t>施工方案</w:t>
            </w:r>
          </w:p>
        </w:tc>
        <w:tc>
          <w:tcPr>
            <w:tcW w:w="800" w:type="dxa"/>
            <w:vAlign w:val="center"/>
          </w:tcPr>
          <w:p w14:paraId="2B378115">
            <w:pPr>
              <w:pStyle w:val="40"/>
              <w:jc w:val="center"/>
              <w:rPr>
                <w:rFonts w:hint="default" w:ascii="宋体" w:hAnsi="宋体" w:eastAsia="宋体" w:cs="宋体"/>
                <w:sz w:val="24"/>
                <w:szCs w:val="24"/>
              </w:rPr>
            </w:pPr>
            <w:r>
              <w:rPr>
                <w:rFonts w:ascii="宋体" w:hAnsi="宋体" w:eastAsia="宋体" w:cs="宋体"/>
                <w:sz w:val="24"/>
                <w:szCs w:val="24"/>
              </w:rPr>
              <w:t>25分</w:t>
            </w:r>
          </w:p>
        </w:tc>
        <w:tc>
          <w:tcPr>
            <w:tcW w:w="7556" w:type="dxa"/>
            <w:vAlign w:val="center"/>
          </w:tcPr>
          <w:p w14:paraId="6C3D04D9">
            <w:pPr>
              <w:pStyle w:val="6"/>
              <w:jc w:val="left"/>
              <w:rPr>
                <w:rFonts w:ascii="宋体" w:hAnsi="宋体" w:eastAsia="宋体" w:cs="宋体"/>
                <w:sz w:val="24"/>
                <w:szCs w:val="24"/>
              </w:rPr>
            </w:pPr>
            <w:r>
              <w:rPr>
                <w:rFonts w:hint="eastAsia" w:ascii="宋体" w:hAnsi="宋体" w:eastAsia="宋体" w:cs="宋体"/>
                <w:sz w:val="24"/>
                <w:szCs w:val="24"/>
              </w:rPr>
              <w:t>报价人针对本项目提出内容完整、详细、科学、合理，有针对性的工作整体实施方案，包括设计图、施工图；有提供方案且完全满足或优于用户需求的，得25分；有提供方案但不能完全满足用户需求的，得15分。不提供方案不得分。</w:t>
            </w:r>
          </w:p>
        </w:tc>
      </w:tr>
      <w:tr w14:paraId="0F6D78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52" w:hRule="atLeast"/>
          <w:jc w:val="center"/>
        </w:trPr>
        <w:tc>
          <w:tcPr>
            <w:tcW w:w="456" w:type="dxa"/>
            <w:vAlign w:val="center"/>
          </w:tcPr>
          <w:p w14:paraId="61E21BD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788" w:type="dxa"/>
            <w:vMerge w:val="continue"/>
            <w:vAlign w:val="center"/>
          </w:tcPr>
          <w:p w14:paraId="48C64ECB">
            <w:pPr>
              <w:jc w:val="center"/>
              <w:rPr>
                <w:rFonts w:ascii="宋体" w:hAnsi="宋体" w:eastAsia="宋体" w:cs="宋体"/>
                <w:sz w:val="24"/>
                <w:szCs w:val="24"/>
              </w:rPr>
            </w:pPr>
          </w:p>
        </w:tc>
        <w:tc>
          <w:tcPr>
            <w:tcW w:w="816" w:type="dxa"/>
            <w:vAlign w:val="center"/>
          </w:tcPr>
          <w:p w14:paraId="67E37F79">
            <w:pPr>
              <w:jc w:val="center"/>
              <w:rPr>
                <w:rFonts w:ascii="宋体" w:hAnsi="宋体" w:eastAsia="宋体" w:cs="宋体"/>
                <w:sz w:val="24"/>
                <w:szCs w:val="24"/>
              </w:rPr>
            </w:pPr>
            <w:r>
              <w:rPr>
                <w:rFonts w:ascii="宋体" w:hAnsi="宋体" w:eastAsia="宋体" w:cs="宋体"/>
                <w:sz w:val="24"/>
                <w:szCs w:val="24"/>
              </w:rPr>
              <w:t>团队实力</w:t>
            </w:r>
          </w:p>
        </w:tc>
        <w:tc>
          <w:tcPr>
            <w:tcW w:w="800" w:type="dxa"/>
            <w:vAlign w:val="center"/>
          </w:tcPr>
          <w:p w14:paraId="1F936E7B">
            <w:pPr>
              <w:pStyle w:val="40"/>
              <w:jc w:val="center"/>
              <w:rPr>
                <w:rFonts w:hint="default" w:ascii="宋体" w:hAnsi="宋体" w:eastAsia="宋体" w:cs="宋体"/>
                <w:sz w:val="24"/>
                <w:szCs w:val="24"/>
              </w:rPr>
            </w:pPr>
            <w:r>
              <w:rPr>
                <w:rFonts w:ascii="宋体" w:hAnsi="宋体" w:eastAsia="宋体" w:cs="宋体"/>
                <w:sz w:val="24"/>
                <w:szCs w:val="24"/>
              </w:rPr>
              <w:t>15分</w:t>
            </w:r>
          </w:p>
        </w:tc>
        <w:tc>
          <w:tcPr>
            <w:tcW w:w="7556" w:type="dxa"/>
            <w:vAlign w:val="center"/>
          </w:tcPr>
          <w:p w14:paraId="21B15E30">
            <w:pPr>
              <w:pStyle w:val="40"/>
              <w:jc w:val="left"/>
              <w:rPr>
                <w:rFonts w:hint="default" w:ascii="宋体" w:hAnsi="宋体" w:eastAsia="宋体" w:cs="宋体"/>
                <w:sz w:val="24"/>
                <w:szCs w:val="24"/>
              </w:rPr>
            </w:pPr>
            <w:r>
              <w:rPr>
                <w:rFonts w:ascii="宋体" w:hAnsi="宋体" w:eastAsia="宋体" w:cs="宋体"/>
                <w:sz w:val="24"/>
                <w:szCs w:val="24"/>
              </w:rPr>
              <w:t>1.项目负责人：具有设计相关专业工程师中级或以上职称得8分，</w:t>
            </w:r>
          </w:p>
          <w:p w14:paraId="178FB6B2">
            <w:pPr>
              <w:pStyle w:val="40"/>
              <w:jc w:val="left"/>
              <w:rPr>
                <w:rFonts w:hint="default" w:ascii="宋体" w:hAnsi="宋体" w:eastAsia="宋体" w:cs="宋体"/>
                <w:sz w:val="24"/>
                <w:szCs w:val="24"/>
              </w:rPr>
            </w:pPr>
            <w:r>
              <w:rPr>
                <w:rFonts w:ascii="宋体" w:hAnsi="宋体" w:eastAsia="宋体" w:cs="宋体"/>
                <w:sz w:val="24"/>
                <w:szCs w:val="24"/>
              </w:rPr>
              <w:t>2.技术负责人：具有建筑类相关专业工程师中级或以上职称得7分，</w:t>
            </w:r>
          </w:p>
          <w:p w14:paraId="77301013">
            <w:pPr>
              <w:pStyle w:val="40"/>
              <w:jc w:val="left"/>
              <w:rPr>
                <w:rFonts w:hint="default" w:ascii="宋体" w:hAnsi="宋体" w:eastAsia="宋体" w:cs="宋体"/>
                <w:sz w:val="24"/>
                <w:szCs w:val="24"/>
              </w:rPr>
            </w:pPr>
            <w:r>
              <w:rPr>
                <w:rFonts w:ascii="宋体" w:hAnsi="宋体" w:eastAsia="宋体" w:cs="宋体"/>
                <w:sz w:val="24"/>
                <w:szCs w:val="24"/>
              </w:rPr>
              <w:t>注：①</w:t>
            </w:r>
            <w:r>
              <w:rPr>
                <w:rFonts w:ascii="宋体" w:hAnsi="宋体" w:cs="宋体"/>
                <w:sz w:val="24"/>
                <w:szCs w:val="24"/>
              </w:rPr>
              <w:t>拟派人员不得重复兼任，</w:t>
            </w:r>
            <w:r>
              <w:rPr>
                <w:rFonts w:ascii="宋体" w:hAnsi="宋体" w:eastAsia="宋体" w:cs="宋体"/>
                <w:sz w:val="24"/>
                <w:szCs w:val="24"/>
              </w:rPr>
              <w:t>同一人取得多个证书不重复计分，同一类型证书不重复计分。②</w:t>
            </w:r>
            <w:r>
              <w:rPr>
                <w:rFonts w:ascii="宋体" w:hAnsi="宋体" w:cs="宋体"/>
                <w:sz w:val="24"/>
                <w:szCs w:val="24"/>
              </w:rPr>
              <w:t>须提供岗位人员对应的注册本单位的注册执业资格证书、职称证明文件及投标截止前三个月任意一个月的由社保局出具的在本单位任职的社会保险关系证明或单位代缴个税税单，证明文件均需提供复印件并加盖供应商公章，不提供或不齐全均不得分。</w:t>
            </w:r>
          </w:p>
        </w:tc>
      </w:tr>
      <w:tr w14:paraId="03B7AF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79" w:hRule="atLeast"/>
          <w:jc w:val="center"/>
        </w:trPr>
        <w:tc>
          <w:tcPr>
            <w:tcW w:w="456" w:type="dxa"/>
            <w:vAlign w:val="center"/>
          </w:tcPr>
          <w:p w14:paraId="61CD8E87">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788" w:type="dxa"/>
            <w:vMerge w:val="restart"/>
            <w:vAlign w:val="center"/>
          </w:tcPr>
          <w:p w14:paraId="4437D026">
            <w:pPr>
              <w:pStyle w:val="40"/>
              <w:jc w:val="center"/>
              <w:rPr>
                <w:rFonts w:ascii="宋体" w:hAnsi="宋体" w:eastAsia="宋体" w:cs="宋体"/>
                <w:sz w:val="24"/>
                <w:szCs w:val="24"/>
              </w:rPr>
            </w:pPr>
            <w:r>
              <w:rPr>
                <w:rFonts w:ascii="宋体" w:hAnsi="宋体" w:eastAsia="宋体" w:cs="宋体"/>
                <w:sz w:val="24"/>
                <w:szCs w:val="24"/>
              </w:rPr>
              <w:t>商务</w:t>
            </w:r>
          </w:p>
          <w:p w14:paraId="5C1758B3">
            <w:pPr>
              <w:pStyle w:val="40"/>
              <w:jc w:val="center"/>
              <w:rPr>
                <w:rFonts w:ascii="宋体" w:hAnsi="宋体" w:eastAsia="宋体" w:cs="宋体"/>
                <w:sz w:val="24"/>
                <w:szCs w:val="24"/>
              </w:rPr>
            </w:pPr>
            <w:r>
              <w:rPr>
                <w:rFonts w:ascii="宋体" w:hAnsi="宋体" w:eastAsia="宋体" w:cs="宋体"/>
                <w:sz w:val="24"/>
                <w:szCs w:val="24"/>
              </w:rPr>
              <w:t>部分</w:t>
            </w:r>
          </w:p>
        </w:tc>
        <w:tc>
          <w:tcPr>
            <w:tcW w:w="816" w:type="dxa"/>
            <w:vAlign w:val="center"/>
          </w:tcPr>
          <w:p w14:paraId="70B93B6B">
            <w:pPr>
              <w:pStyle w:val="40"/>
              <w:jc w:val="center"/>
              <w:rPr>
                <w:rFonts w:hint="default" w:ascii="宋体" w:hAnsi="宋体" w:eastAsia="宋体" w:cs="宋体"/>
                <w:sz w:val="24"/>
                <w:szCs w:val="24"/>
              </w:rPr>
            </w:pPr>
            <w:r>
              <w:rPr>
                <w:rFonts w:ascii="宋体" w:hAnsi="宋体" w:eastAsia="宋体" w:cs="宋体"/>
                <w:sz w:val="24"/>
                <w:szCs w:val="24"/>
              </w:rPr>
              <w:t>业绩经验</w:t>
            </w:r>
          </w:p>
        </w:tc>
        <w:tc>
          <w:tcPr>
            <w:tcW w:w="800" w:type="dxa"/>
            <w:vAlign w:val="center"/>
          </w:tcPr>
          <w:p w14:paraId="4ED120FB">
            <w:pPr>
              <w:pStyle w:val="40"/>
              <w:jc w:val="center"/>
              <w:rPr>
                <w:rFonts w:hint="default" w:ascii="宋体" w:hAnsi="宋体" w:eastAsia="宋体" w:cs="宋体"/>
                <w:color w:val="FF0000"/>
                <w:sz w:val="24"/>
                <w:szCs w:val="24"/>
              </w:rPr>
            </w:pPr>
            <w:r>
              <w:rPr>
                <w:rFonts w:ascii="宋体" w:hAnsi="宋体" w:eastAsia="宋体" w:cs="宋体"/>
                <w:sz w:val="24"/>
                <w:szCs w:val="24"/>
              </w:rPr>
              <w:t>10分</w:t>
            </w:r>
          </w:p>
        </w:tc>
        <w:tc>
          <w:tcPr>
            <w:tcW w:w="7556" w:type="dxa"/>
            <w:vAlign w:val="center"/>
          </w:tcPr>
          <w:p w14:paraId="4A312C0C">
            <w:pPr>
              <w:pStyle w:val="40"/>
              <w:jc w:val="left"/>
              <w:rPr>
                <w:rFonts w:hint="default" w:ascii="宋体" w:hAnsi="宋体" w:eastAsia="宋体" w:cs="宋体"/>
                <w:sz w:val="24"/>
                <w:szCs w:val="24"/>
              </w:rPr>
            </w:pPr>
            <w:r>
              <w:rPr>
                <w:rFonts w:ascii="宋体" w:hAnsi="宋体" w:eastAsia="宋体" w:cs="宋体"/>
                <w:sz w:val="24"/>
                <w:szCs w:val="24"/>
              </w:rPr>
              <w:t>投标人2023年1月1日至今（以合同签订时间为准），承接的建设类相关业绩，每提供一个得2分。（本项最高得10分）</w:t>
            </w:r>
          </w:p>
          <w:p w14:paraId="40351813">
            <w:pPr>
              <w:pStyle w:val="40"/>
              <w:jc w:val="left"/>
              <w:rPr>
                <w:rFonts w:hint="default" w:ascii="宋体" w:hAnsi="宋体" w:eastAsia="宋体" w:cs="宋体"/>
                <w:color w:val="FF0000"/>
                <w:sz w:val="24"/>
                <w:szCs w:val="24"/>
              </w:rPr>
            </w:pPr>
            <w:r>
              <w:rPr>
                <w:rFonts w:ascii="宋体" w:hAnsi="宋体" w:eastAsia="宋体" w:cs="宋体"/>
                <w:sz w:val="24"/>
                <w:szCs w:val="24"/>
              </w:rPr>
              <w:t>注：须提供中标通知书、提供合同复印件合同关键页（含签订合同双方的单位名称、合同项目名称、签订合同双方的落款盖章、签订日期的关键页）及验收报告。上述资料均需提供复印件并加盖供应商公章，不提供或不齐全均不得分。</w:t>
            </w:r>
          </w:p>
        </w:tc>
      </w:tr>
      <w:tr w14:paraId="33E578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73" w:hRule="atLeast"/>
          <w:jc w:val="center"/>
        </w:trPr>
        <w:tc>
          <w:tcPr>
            <w:tcW w:w="456" w:type="dxa"/>
            <w:vAlign w:val="center"/>
          </w:tcPr>
          <w:p w14:paraId="54569775">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788" w:type="dxa"/>
            <w:vMerge w:val="continue"/>
            <w:vAlign w:val="center"/>
          </w:tcPr>
          <w:p w14:paraId="6B668E15">
            <w:pPr>
              <w:pStyle w:val="40"/>
              <w:jc w:val="center"/>
              <w:rPr>
                <w:rFonts w:hint="default" w:ascii="宋体" w:hAnsi="宋体" w:eastAsia="宋体" w:cs="宋体"/>
                <w:sz w:val="24"/>
                <w:szCs w:val="24"/>
              </w:rPr>
            </w:pPr>
          </w:p>
        </w:tc>
        <w:tc>
          <w:tcPr>
            <w:tcW w:w="816" w:type="dxa"/>
            <w:vAlign w:val="center"/>
          </w:tcPr>
          <w:p w14:paraId="2F4215C8">
            <w:pPr>
              <w:pStyle w:val="40"/>
              <w:jc w:val="center"/>
              <w:rPr>
                <w:rFonts w:hint="default" w:ascii="宋体" w:hAnsi="宋体" w:eastAsia="宋体" w:cs="宋体"/>
                <w:sz w:val="24"/>
                <w:szCs w:val="24"/>
              </w:rPr>
            </w:pPr>
            <w:r>
              <w:rPr>
                <w:rFonts w:ascii="宋体" w:hAnsi="宋体" w:eastAsia="宋体" w:cs="宋体"/>
                <w:sz w:val="24"/>
                <w:szCs w:val="24"/>
              </w:rPr>
              <w:t>用户评价</w:t>
            </w:r>
          </w:p>
        </w:tc>
        <w:tc>
          <w:tcPr>
            <w:tcW w:w="800" w:type="dxa"/>
            <w:vAlign w:val="center"/>
          </w:tcPr>
          <w:p w14:paraId="09DC32D6">
            <w:pPr>
              <w:pStyle w:val="40"/>
              <w:jc w:val="center"/>
              <w:rPr>
                <w:rFonts w:hint="default" w:ascii="宋体" w:hAnsi="宋体" w:eastAsia="宋体" w:cs="宋体"/>
                <w:sz w:val="24"/>
                <w:szCs w:val="24"/>
              </w:rPr>
            </w:pPr>
            <w:r>
              <w:rPr>
                <w:rFonts w:ascii="宋体" w:hAnsi="宋体" w:eastAsia="宋体" w:cs="宋体"/>
                <w:sz w:val="24"/>
                <w:szCs w:val="24"/>
              </w:rPr>
              <w:t>10分</w:t>
            </w:r>
          </w:p>
        </w:tc>
        <w:tc>
          <w:tcPr>
            <w:tcW w:w="7556" w:type="dxa"/>
            <w:vAlign w:val="center"/>
          </w:tcPr>
          <w:p w14:paraId="0898F35E">
            <w:pPr>
              <w:pStyle w:val="40"/>
              <w:jc w:val="left"/>
              <w:rPr>
                <w:rFonts w:hint="default" w:ascii="宋体" w:hAnsi="宋体" w:eastAsia="宋体" w:cs="宋体"/>
                <w:sz w:val="24"/>
                <w:szCs w:val="24"/>
              </w:rPr>
            </w:pPr>
            <w:r>
              <w:rPr>
                <w:rFonts w:ascii="宋体" w:hAnsi="宋体" w:eastAsia="宋体" w:cs="宋体"/>
                <w:sz w:val="24"/>
                <w:szCs w:val="24"/>
              </w:rPr>
              <w:t>2023年以来供应商承接的建设类相关项目（必须为以上业绩情况中有效计分的业绩）。获得用户评价为优秀、满意或相当于类似正面评价，每份得2分，最高10分。</w:t>
            </w:r>
          </w:p>
          <w:p w14:paraId="6D429EC5">
            <w:pPr>
              <w:pStyle w:val="40"/>
              <w:jc w:val="left"/>
              <w:rPr>
                <w:rFonts w:hint="default" w:ascii="宋体" w:hAnsi="宋体" w:eastAsia="宋体" w:cs="宋体"/>
                <w:sz w:val="24"/>
                <w:szCs w:val="24"/>
              </w:rPr>
            </w:pPr>
            <w:r>
              <w:rPr>
                <w:rFonts w:ascii="宋体" w:hAnsi="宋体" w:eastAsia="宋体" w:cs="宋体"/>
                <w:sz w:val="24"/>
                <w:szCs w:val="24"/>
              </w:rPr>
              <w:t>注：提供合同甲方或甲方项目主管部门盖章的评价文件，不提供不得分。</w:t>
            </w:r>
          </w:p>
        </w:tc>
      </w:tr>
      <w:tr w14:paraId="057A8C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4" w:hRule="atLeast"/>
          <w:jc w:val="center"/>
        </w:trPr>
        <w:tc>
          <w:tcPr>
            <w:tcW w:w="456" w:type="dxa"/>
            <w:vAlign w:val="center"/>
          </w:tcPr>
          <w:p w14:paraId="04CCA1F0">
            <w:pPr>
              <w:pStyle w:val="4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788" w:type="dxa"/>
            <w:vAlign w:val="center"/>
          </w:tcPr>
          <w:p w14:paraId="2BFEC386">
            <w:pPr>
              <w:pStyle w:val="40"/>
              <w:jc w:val="center"/>
              <w:rPr>
                <w:rFonts w:ascii="宋体" w:hAnsi="宋体" w:eastAsia="宋体" w:cs="宋体"/>
                <w:sz w:val="24"/>
                <w:szCs w:val="24"/>
              </w:rPr>
            </w:pPr>
            <w:r>
              <w:rPr>
                <w:rFonts w:ascii="宋体" w:hAnsi="宋体" w:eastAsia="宋体" w:cs="宋体"/>
                <w:sz w:val="24"/>
                <w:szCs w:val="24"/>
              </w:rPr>
              <w:t>投标</w:t>
            </w:r>
          </w:p>
          <w:p w14:paraId="2C9F6E93">
            <w:pPr>
              <w:pStyle w:val="40"/>
              <w:jc w:val="center"/>
              <w:rPr>
                <w:rFonts w:ascii="宋体" w:hAnsi="宋体" w:eastAsia="宋体" w:cs="宋体"/>
                <w:sz w:val="24"/>
                <w:szCs w:val="24"/>
              </w:rPr>
            </w:pPr>
            <w:r>
              <w:rPr>
                <w:rFonts w:ascii="宋体" w:hAnsi="宋体" w:eastAsia="宋体" w:cs="宋体"/>
                <w:sz w:val="24"/>
                <w:szCs w:val="24"/>
              </w:rPr>
              <w:t>报价</w:t>
            </w:r>
          </w:p>
        </w:tc>
        <w:tc>
          <w:tcPr>
            <w:tcW w:w="816" w:type="dxa"/>
            <w:vAlign w:val="center"/>
          </w:tcPr>
          <w:p w14:paraId="3CB11129">
            <w:pPr>
              <w:pStyle w:val="40"/>
              <w:jc w:val="center"/>
              <w:rPr>
                <w:rFonts w:hint="default" w:ascii="宋体" w:hAnsi="宋体" w:eastAsia="宋体" w:cs="宋体"/>
                <w:sz w:val="24"/>
                <w:szCs w:val="24"/>
              </w:rPr>
            </w:pPr>
            <w:r>
              <w:rPr>
                <w:rFonts w:ascii="宋体" w:hAnsi="宋体" w:eastAsia="宋体" w:cs="宋体"/>
                <w:sz w:val="24"/>
                <w:szCs w:val="24"/>
              </w:rPr>
              <w:t>报价得分</w:t>
            </w:r>
          </w:p>
        </w:tc>
        <w:tc>
          <w:tcPr>
            <w:tcW w:w="800" w:type="dxa"/>
            <w:vAlign w:val="center"/>
          </w:tcPr>
          <w:p w14:paraId="743DAFC1">
            <w:pPr>
              <w:pStyle w:val="40"/>
              <w:jc w:val="center"/>
              <w:rPr>
                <w:rFonts w:hint="default" w:ascii="宋体" w:hAnsi="宋体" w:eastAsia="宋体" w:cs="宋体"/>
                <w:sz w:val="24"/>
                <w:szCs w:val="24"/>
              </w:rPr>
            </w:pPr>
            <w:r>
              <w:rPr>
                <w:rFonts w:ascii="宋体" w:hAnsi="宋体" w:eastAsia="宋体" w:cs="宋体"/>
                <w:sz w:val="24"/>
                <w:szCs w:val="24"/>
              </w:rPr>
              <w:t>40分</w:t>
            </w:r>
          </w:p>
        </w:tc>
        <w:tc>
          <w:tcPr>
            <w:tcW w:w="7556" w:type="dxa"/>
            <w:vAlign w:val="center"/>
          </w:tcPr>
          <w:p w14:paraId="409080C2">
            <w:pPr>
              <w:pStyle w:val="40"/>
              <w:jc w:val="left"/>
              <w:rPr>
                <w:rFonts w:hint="default" w:ascii="宋体" w:hAnsi="宋体" w:eastAsia="宋体" w:cs="宋体"/>
                <w:sz w:val="24"/>
                <w:szCs w:val="24"/>
              </w:rPr>
            </w:pPr>
            <w:r>
              <w:rPr>
                <w:rFonts w:ascii="宋体" w:hAnsi="宋体" w:eastAsia="宋体" w:cs="宋体"/>
                <w:sz w:val="24"/>
                <w:szCs w:val="24"/>
              </w:rPr>
              <w:t>投标报价得分＝（评标基准价/投标报价）×（价格权重40%）×100</w:t>
            </w:r>
          </w:p>
          <w:p w14:paraId="6E7E9801">
            <w:pPr>
              <w:pStyle w:val="40"/>
              <w:jc w:val="left"/>
              <w:rPr>
                <w:rFonts w:hint="default" w:ascii="宋体" w:hAnsi="宋体" w:eastAsia="宋体" w:cs="宋体"/>
                <w:sz w:val="24"/>
                <w:szCs w:val="24"/>
              </w:rPr>
            </w:pPr>
            <w:r>
              <w:rPr>
                <w:rFonts w:ascii="宋体" w:hAnsi="宋体" w:eastAsia="宋体" w:cs="宋体"/>
                <w:sz w:val="24"/>
                <w:szCs w:val="24"/>
              </w:rPr>
              <w:t>（注：满足招标文件要求且投标价格最低的投标报价为评标基准价。）最低报价不是中标的唯一依据。</w:t>
            </w:r>
          </w:p>
        </w:tc>
      </w:tr>
    </w:tbl>
    <w:p w14:paraId="22073731">
      <w:pPr>
        <w:pStyle w:val="40"/>
        <w:rPr>
          <w:rFonts w:hint="default"/>
        </w:rPr>
      </w:pPr>
      <w:r>
        <w:rPr>
          <w:sz w:val="24"/>
          <w:szCs w:val="24"/>
        </w:rPr>
        <w:t>评审结果按评审后总得分由高到低顺序排列。评审得分相同的，按最终报价由低到高顺序排列。得分且最终报价相同的，由谈判小组采取随机抽取的方式确定。</w:t>
      </w:r>
    </w:p>
    <w:p w14:paraId="04A3EA65">
      <w:pPr>
        <w:rPr>
          <w:rFonts w:cs="宋体" w:asciiTheme="minorEastAsia" w:hAnsiTheme="minorEastAsia" w:eastAsiaTheme="minorEastAsia"/>
          <w:sz w:val="36"/>
          <w:szCs w:val="36"/>
        </w:rPr>
      </w:pPr>
      <w:r>
        <w:rPr>
          <w:rFonts w:hint="eastAsia" w:cs="宋体" w:asciiTheme="minorEastAsia" w:hAnsiTheme="minorEastAsia" w:eastAsiaTheme="minorEastAsia"/>
          <w:sz w:val="36"/>
          <w:szCs w:val="36"/>
        </w:rPr>
        <w:br w:type="page"/>
      </w:r>
    </w:p>
    <w:p w14:paraId="6DA8FA02">
      <w:pPr>
        <w:pStyle w:val="15"/>
        <w:ind w:firstLine="1807" w:firstLineChars="500"/>
        <w:jc w:val="both"/>
        <w:rPr>
          <w:rFonts w:cs="宋体" w:asciiTheme="minorEastAsia" w:hAnsiTheme="minorEastAsia" w:eastAsiaTheme="minorEastAsia"/>
          <w:sz w:val="36"/>
          <w:szCs w:val="36"/>
        </w:rPr>
      </w:pPr>
      <w:r>
        <w:rPr>
          <w:rFonts w:hint="eastAsia" w:cs="宋体" w:asciiTheme="minorEastAsia" w:hAnsiTheme="minorEastAsia" w:eastAsiaTheme="minorEastAsia"/>
          <w:sz w:val="36"/>
          <w:szCs w:val="36"/>
        </w:rPr>
        <w:t>第三章 响应文件资料组成及相关要求</w:t>
      </w:r>
    </w:p>
    <w:p w14:paraId="71CCF7C7">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31461255">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2EA4C5B6">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3C97F2F9">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1253EB8F">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2CEEEDA4">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56D51E4F">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1F3A7627">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728744E5">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须加盖公章，一正本两副本，三份各自独立密封，在封面显著位置清楚标明“正本”或“副本”字样。如正本和副本内容不一致以正本书面文件为准。A4纸规格，加盖公章，顺序装订。密封袋须用封条密封加盖公章。</w:t>
      </w:r>
    </w:p>
    <w:p w14:paraId="4B4EFC18">
      <w:pPr>
        <w:widowControl/>
        <w:spacing w:line="360" w:lineRule="auto"/>
        <w:ind w:firstLine="470" w:firstLineChars="196"/>
        <w:jc w:val="left"/>
        <w:rPr>
          <w:rFonts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79D60A73"/>
    <w:p w14:paraId="5E79D5B8">
      <w:pPr>
        <w:pStyle w:val="15"/>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5097DDCC">
      <w:pPr>
        <w:pStyle w:val="15"/>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58604A2D">
      <w:pPr>
        <w:pStyle w:val="15"/>
        <w:jc w:val="both"/>
        <w:rPr>
          <w:rFonts w:asciiTheme="minorEastAsia" w:hAnsiTheme="minorEastAsia" w:eastAsiaTheme="minorEastAsia"/>
          <w:sz w:val="44"/>
          <w:szCs w:val="44"/>
        </w:rPr>
      </w:pPr>
      <w:r>
        <w:rPr>
          <w:rFonts w:hint="eastAsia" w:asciiTheme="minorEastAsia" w:hAnsiTheme="minorEastAsia" w:eastAsiaTheme="minorEastAsia"/>
        </w:rPr>
        <w:t>封面：</w:t>
      </w:r>
    </w:p>
    <w:p w14:paraId="3422B956">
      <w:pPr>
        <w:spacing w:line="240" w:lineRule="atLeast"/>
        <w:jc w:val="center"/>
        <w:rPr>
          <w:rFonts w:cs="Helvetica" w:asciiTheme="minorEastAsia" w:hAnsiTheme="minorEastAsia" w:eastAsiaTheme="minorEastAsia"/>
          <w:b/>
          <w:color w:val="FF0000"/>
          <w:kern w:val="0"/>
          <w:sz w:val="52"/>
          <w:szCs w:val="52"/>
          <w:u w:val="single"/>
        </w:rPr>
      </w:pPr>
      <w:r>
        <w:rPr>
          <w:rFonts w:hint="eastAsia" w:cs="Helvetica" w:asciiTheme="minorEastAsia" w:hAnsiTheme="minorEastAsia" w:eastAsiaTheme="minorEastAsia"/>
          <w:b/>
          <w:color w:val="000000" w:themeColor="text1"/>
          <w:kern w:val="0"/>
          <w:sz w:val="36"/>
          <w:szCs w:val="36"/>
          <w:u w:val="single"/>
          <w14:textFill>
            <w14:solidFill>
              <w14:schemeClr w14:val="tx1"/>
            </w14:solidFill>
          </w14:textFill>
        </w:rPr>
        <w:t>江门市技师学院</w:t>
      </w:r>
    </w:p>
    <w:p w14:paraId="53F564E8">
      <w:pPr>
        <w:spacing w:line="240" w:lineRule="atLeast"/>
        <w:jc w:val="center"/>
        <w:rPr>
          <w:rFonts w:cs="Helvetica" w:asciiTheme="minorEastAsia" w:hAnsiTheme="minorEastAsia" w:eastAsiaTheme="minorEastAsia"/>
          <w:b/>
          <w:color w:val="FF0000"/>
          <w:kern w:val="0"/>
          <w:sz w:val="52"/>
          <w:szCs w:val="52"/>
          <w:highlight w:val="none"/>
          <w:u w:val="single"/>
        </w:rPr>
      </w:pPr>
      <w:r>
        <w:rPr>
          <w:rFonts w:hint="eastAsia" w:cs="Helvetica" w:asciiTheme="minorEastAsia" w:hAnsiTheme="minorEastAsia" w:eastAsiaTheme="minorEastAsia"/>
          <w:b/>
          <w:color w:val="000000" w:themeColor="text1"/>
          <w:kern w:val="0"/>
          <w:sz w:val="36"/>
          <w:szCs w:val="36"/>
          <w:highlight w:val="none"/>
          <w:u w:val="single"/>
          <w14:textFill>
            <w14:solidFill>
              <w14:schemeClr w14:val="tx1"/>
            </w14:solidFill>
          </w14:textFill>
        </w:rPr>
        <w:t>“科创一条街”建设项目（第二次）</w:t>
      </w:r>
    </w:p>
    <w:p w14:paraId="06A01CA5">
      <w:pPr>
        <w:spacing w:line="240" w:lineRule="atLeast"/>
        <w:jc w:val="center"/>
        <w:rPr>
          <w:rFonts w:hint="default" w:asciiTheme="minorEastAsia" w:hAnsiTheme="minorEastAsia" w:eastAsiaTheme="minorEastAsia"/>
          <w:b/>
          <w:sz w:val="28"/>
          <w:szCs w:val="28"/>
          <w:highlight w:val="none"/>
          <w:lang w:val="en-US"/>
        </w:rPr>
      </w:pPr>
      <w:r>
        <w:rPr>
          <w:rFonts w:hint="eastAsia" w:asciiTheme="minorEastAsia" w:hAnsiTheme="minorEastAsia" w:eastAsiaTheme="minorEastAsia"/>
          <w:b/>
          <w:sz w:val="28"/>
          <w:szCs w:val="28"/>
          <w:highlight w:val="none"/>
        </w:rPr>
        <w:t>项目编号：jys-cgzx-2026-3</w:t>
      </w:r>
      <w:r>
        <w:rPr>
          <w:rFonts w:hint="eastAsia" w:asciiTheme="minorEastAsia" w:hAnsiTheme="minorEastAsia" w:eastAsiaTheme="minorEastAsia"/>
          <w:b/>
          <w:sz w:val="28"/>
          <w:szCs w:val="28"/>
          <w:highlight w:val="none"/>
          <w:lang w:val="en-US" w:eastAsia="zh-CN"/>
        </w:rPr>
        <w:t>9-01</w:t>
      </w:r>
      <w:bookmarkStart w:id="1" w:name="_GoBack"/>
      <w:bookmarkEnd w:id="1"/>
    </w:p>
    <w:p w14:paraId="1CF59626">
      <w:pPr>
        <w:spacing w:line="240" w:lineRule="atLeast"/>
        <w:jc w:val="center"/>
        <w:rPr>
          <w:rFonts w:asciiTheme="minorEastAsia" w:hAnsiTheme="minorEastAsia" w:eastAsiaTheme="minorEastAsia"/>
          <w:b/>
          <w:color w:val="000000"/>
          <w:sz w:val="44"/>
          <w:szCs w:val="44"/>
        </w:rPr>
      </w:pPr>
    </w:p>
    <w:p w14:paraId="62FE601E">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31E15A4B">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238212F5">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74CF6601">
      <w:pPr>
        <w:spacing w:line="240" w:lineRule="atLeast"/>
        <w:jc w:val="center"/>
        <w:rPr>
          <w:rFonts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408D30FE">
      <w:pPr>
        <w:spacing w:line="240" w:lineRule="atLeast"/>
        <w:ind w:firstLine="320" w:firstLineChars="100"/>
        <w:jc w:val="cente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（正本/副本）</w:t>
      </w:r>
    </w:p>
    <w:p w14:paraId="6E39E0ED">
      <w:pPr>
        <w:spacing w:line="240" w:lineRule="atLeast"/>
        <w:ind w:firstLine="320" w:firstLineChars="100"/>
        <w:jc w:val="center"/>
        <w:rPr>
          <w:rFonts w:asciiTheme="minorEastAsia" w:hAnsiTheme="minorEastAsia" w:eastAsiaTheme="minorEastAsia"/>
          <w:color w:val="000000"/>
          <w:sz w:val="32"/>
          <w:szCs w:val="32"/>
        </w:rPr>
      </w:pPr>
    </w:p>
    <w:p w14:paraId="07E20072">
      <w:pPr>
        <w:spacing w:line="360" w:lineRule="auto"/>
        <w:rPr>
          <w:rFonts w:asciiTheme="minorEastAsia" w:hAnsiTheme="minorEastAsia" w:eastAsiaTheme="minorEastAsia"/>
          <w:color w:val="000000"/>
          <w:sz w:val="28"/>
          <w:szCs w:val="28"/>
        </w:rPr>
      </w:pPr>
    </w:p>
    <w:p w14:paraId="2F110BCA">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5DD2C195">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5C63F545">
      <w:pPr>
        <w:spacing w:line="360" w:lineRule="auto"/>
        <w:ind w:right="-732" w:rightChars="-244"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日期：年月日</w:t>
      </w:r>
      <w:r>
        <w:rPr>
          <w:rFonts w:asciiTheme="minorEastAsia" w:hAnsiTheme="minorEastAsia" w:eastAsiaTheme="minorEastAsia"/>
          <w:color w:val="000000"/>
          <w:sz w:val="28"/>
        </w:rPr>
        <w:br w:type="page"/>
      </w:r>
    </w:p>
    <w:p w14:paraId="14795043">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1B51EB86">
      <w:pPr>
        <w:spacing w:line="240" w:lineRule="atLeast"/>
        <w:ind w:right="-732" w:rightChars="-244"/>
        <w:rPr>
          <w:rFonts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3C4E2521">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15"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45196AFF">
      <w:pPr>
        <w:widowControl/>
        <w:jc w:val="left"/>
        <w:rPr>
          <w:rFonts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637E62E9">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5EA73990">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6C8DA6EB">
      <w:pPr>
        <w:spacing w:line="240" w:lineRule="atLeast"/>
        <w:ind w:right="-732" w:rightChars="-244"/>
        <w:rPr>
          <w:rFonts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16"/>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71BFF2EB">
      <w:pPr>
        <w:pStyle w:val="15"/>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附件2：</w:t>
      </w:r>
    </w:p>
    <w:p w14:paraId="142A7446">
      <w:pPr>
        <w:widowControl/>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24C05644">
      <w:pPr>
        <w:widowControl/>
        <w:jc w:val="left"/>
        <w:rPr>
          <w:rFonts w:asciiTheme="minorEastAsia" w:hAnsiTheme="minorEastAsia" w:eastAsiaTheme="minorEastAsia"/>
          <w:b/>
          <w:sz w:val="28"/>
          <w:szCs w:val="28"/>
        </w:rPr>
      </w:pPr>
    </w:p>
    <w:p w14:paraId="476A7108">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7A76E6CA">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力。</w:t>
      </w:r>
    </w:p>
    <w:p w14:paraId="471527EC">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24C3465B">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4003F505">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284490AD">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0CC367D9">
      <w:pPr>
        <w:spacing w:line="480" w:lineRule="auto"/>
        <w:rPr>
          <w:rFonts w:asciiTheme="minorEastAsia" w:hAnsiTheme="minorEastAsia" w:eastAsiaTheme="minorEastAsia"/>
          <w:sz w:val="28"/>
          <w:szCs w:val="28"/>
        </w:rPr>
      </w:pPr>
    </w:p>
    <w:p w14:paraId="4506AF7F">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3FE0B9FD">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58942F45">
      <w:pPr>
        <w:spacing w:line="480" w:lineRule="auto"/>
        <w:ind w:firstLine="560" w:firstLineChars="200"/>
        <w:rPr>
          <w:rFonts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146A4A71">
      <w:pPr>
        <w:pStyle w:val="15"/>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附件3：</w:t>
      </w:r>
    </w:p>
    <w:p w14:paraId="62B68801">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16F0E431">
      <w:pPr>
        <w:tabs>
          <w:tab w:val="left" w:pos="3952"/>
        </w:tabs>
        <w:rPr>
          <w:rFonts w:asciiTheme="minorEastAsia" w:hAnsiTheme="minorEastAsia" w:eastAsiaTheme="minorEastAsia"/>
          <w:sz w:val="24"/>
        </w:rPr>
      </w:pPr>
    </w:p>
    <w:p w14:paraId="4CA16996">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637BCB3A">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1FA53761">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42688CA5">
      <w:pPr>
        <w:spacing w:line="480" w:lineRule="auto"/>
        <w:rPr>
          <w:rFonts w:asciiTheme="minorEastAsia" w:hAnsiTheme="minorEastAsia" w:eastAsiaTheme="minorEastAsia"/>
          <w:sz w:val="28"/>
          <w:szCs w:val="28"/>
        </w:rPr>
      </w:pPr>
    </w:p>
    <w:p w14:paraId="608B938E">
      <w:pPr>
        <w:spacing w:line="480" w:lineRule="auto"/>
        <w:rPr>
          <w:rFonts w:asciiTheme="minorEastAsia" w:hAnsiTheme="minorEastAsia" w:eastAsiaTheme="minorEastAsia"/>
          <w:sz w:val="28"/>
          <w:szCs w:val="28"/>
        </w:rPr>
      </w:pPr>
    </w:p>
    <w:p w14:paraId="73ED6B65">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4AF8EA97">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6AFED232">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4BDC6E92">
      <w:pPr>
        <w:rPr>
          <w:rFonts w:asciiTheme="minorEastAsia" w:hAnsiTheme="minorEastAsia" w:eastAsiaTheme="minorEastAsia"/>
        </w:rPr>
      </w:pPr>
    </w:p>
    <w:p w14:paraId="12F569B9">
      <w:pPr>
        <w:widowControl/>
        <w:jc w:val="left"/>
        <w:rPr>
          <w:rFonts w:asciiTheme="minorEastAsia" w:hAnsiTheme="minorEastAsia" w:eastAsiaTheme="minorEastAsia"/>
          <w:b/>
          <w:bCs/>
          <w:sz w:val="32"/>
          <w:szCs w:val="32"/>
        </w:rPr>
      </w:pPr>
      <w:r>
        <w:rPr>
          <w:rFonts w:asciiTheme="minorEastAsia" w:hAnsiTheme="minorEastAsia" w:eastAsiaTheme="minorEastAsia"/>
        </w:rPr>
        <w:br w:type="page"/>
      </w:r>
    </w:p>
    <w:p w14:paraId="5F4AA2AF">
      <w:pPr>
        <w:pStyle w:val="15"/>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附件4：</w:t>
      </w:r>
    </w:p>
    <w:p w14:paraId="7E9A3692">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4B578097">
      <w:pPr>
        <w:rPr>
          <w:rFonts w:asciiTheme="minorEastAsia" w:hAnsiTheme="minorEastAsia" w:eastAsiaTheme="minorEastAsia"/>
        </w:rPr>
      </w:pPr>
    </w:p>
    <w:p w14:paraId="14665C5A">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46731B2E">
      <w:pPr>
        <w:widowControl/>
        <w:spacing w:line="600" w:lineRule="exact"/>
        <w:ind w:firstLine="560" w:firstLineChars="200"/>
        <w:rPr>
          <w:rFonts w:ascii="宋体" w:hAnsi="宋体" w:cs="宋体"/>
          <w:bCs/>
          <w:kern w:val="0"/>
          <w:sz w:val="28"/>
          <w:szCs w:val="28"/>
        </w:rPr>
      </w:pPr>
      <w:r>
        <w:rPr>
          <w:rFonts w:hint="eastAsia" w:asciiTheme="minorEastAsia" w:hAnsiTheme="minorEastAsia" w:eastAsiaTheme="minorEastAsia"/>
          <w:sz w:val="28"/>
          <w:szCs w:val="28"/>
        </w:rPr>
        <w:t>对于</w:t>
      </w:r>
      <w:r>
        <w:rPr>
          <w:rFonts w:hint="eastAsia" w:asciiTheme="minorEastAsia" w:hAnsiTheme="minorEastAsia" w:eastAsiaTheme="minorEastAsia"/>
          <w:sz w:val="28"/>
          <w:szCs w:val="28"/>
          <w:u w:val="single"/>
        </w:rPr>
        <w:t>项目</w:t>
      </w:r>
      <w:r>
        <w:rPr>
          <w:rFonts w:hint="eastAsia" w:asciiTheme="minorEastAsia" w:hAnsiTheme="minorEastAsia" w:eastAsiaTheme="minorEastAsia"/>
          <w:sz w:val="28"/>
          <w:szCs w:val="28"/>
        </w:rPr>
        <w:t>（项目编号：），我单位郑重承诺如中标/成交，我单位严格落实项目需求以下条款：(建议逐条复制项目需求相关条款原文)</w:t>
      </w:r>
    </w:p>
    <w:p w14:paraId="443597F7">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w:t>
      </w:r>
    </w:p>
    <w:p w14:paraId="02B167A1">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w:t>
      </w:r>
    </w:p>
    <w:p w14:paraId="4F856A2F">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w:t>
      </w:r>
    </w:p>
    <w:p w14:paraId="1C663AF8">
      <w:pPr>
        <w:spacing w:line="48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w:t>
      </w:r>
    </w:p>
    <w:p w14:paraId="50BC0845">
      <w:pPr>
        <w:pStyle w:val="15"/>
        <w:jc w:val="both"/>
        <w:rPr>
          <w:rFonts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33BCE776">
      <w:pPr>
        <w:pStyle w:val="15"/>
        <w:jc w:val="both"/>
        <w:rPr>
          <w:rFonts w:asciiTheme="minorEastAsia" w:hAnsiTheme="minorEastAsia" w:eastAsiaTheme="minorEastAsia"/>
          <w:b w:val="0"/>
          <w:bCs w:val="0"/>
          <w:sz w:val="30"/>
          <w:szCs w:val="20"/>
        </w:rPr>
      </w:pPr>
    </w:p>
    <w:p w14:paraId="29CCB826">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MS Mincho" w:cs="MS Mincho"/>
          <w:sz w:val="28"/>
          <w:szCs w:val="28"/>
          <w:u w:val="single"/>
        </w:rPr>
        <w:t>  </w:t>
      </w:r>
    </w:p>
    <w:p w14:paraId="15CD152B">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MS Mincho" w:cs="MS Mincho"/>
          <w:sz w:val="28"/>
          <w:szCs w:val="28"/>
          <w:u w:val="single"/>
        </w:rPr>
        <w:t>  </w:t>
      </w:r>
    </w:p>
    <w:p w14:paraId="5CD8D461">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391D324C">
      <w:pPr>
        <w:pStyle w:val="15"/>
        <w:jc w:val="both"/>
        <w:rPr>
          <w:rFonts w:asciiTheme="minorEastAsia" w:hAnsiTheme="minorEastAsia" w:eastAsiaTheme="minorEastAsia"/>
          <w:b w:val="0"/>
          <w:bCs w:val="0"/>
          <w:sz w:val="30"/>
          <w:szCs w:val="20"/>
        </w:rPr>
      </w:pPr>
    </w:p>
    <w:p w14:paraId="3D8A765C"/>
    <w:p w14:paraId="3133CE7A"/>
    <w:p w14:paraId="06A7C6B3"/>
    <w:p w14:paraId="5C584618">
      <w:pPr>
        <w:widowControl/>
        <w:jc w:val="left"/>
        <w:rPr>
          <w:rFonts w:asciiTheme="minorEastAsia" w:hAnsiTheme="minorEastAsia" w:eastAsiaTheme="minorEastAsia"/>
          <w:sz w:val="24"/>
          <w:szCs w:val="24"/>
        </w:rPr>
      </w:pPr>
    </w:p>
    <w:sectPr>
      <w:pgSz w:w="11906" w:h="16838"/>
      <w:pgMar w:top="1077" w:right="1077" w:bottom="1077" w:left="10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Segoe UI">
    <w:panose1 w:val="020B0502040204020203"/>
    <w:charset w:val="00"/>
    <w:family w:val="swiss"/>
    <w:pitch w:val="default"/>
    <w:sig w:usb0="E4002EFF" w:usb1="C000E47F" w:usb2="00000009" w:usb3="00000000" w:csb0="200001FF" w:csb1="00000000"/>
  </w:font>
  <w:font w:name="楷体">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CF2836"/>
    <w:multiLevelType w:val="singleLevel"/>
    <w:tmpl w:val="CDCF2836"/>
    <w:lvl w:ilvl="0" w:tentative="0">
      <w:start w:val="2"/>
      <w:numFmt w:val="chineseCounting"/>
      <w:suff w:val="space"/>
      <w:lvlText w:val="第%1章"/>
      <w:lvlJc w:val="left"/>
      <w:rPr>
        <w:rFonts w:hint="eastAsia"/>
      </w:rPr>
    </w:lvl>
  </w:abstractNum>
  <w:abstractNum w:abstractNumId="1">
    <w:nsid w:val="D9494BC8"/>
    <w:multiLevelType w:val="singleLevel"/>
    <w:tmpl w:val="D9494BC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50"/>
  <w:drawingGridVerticalSpacing w:val="204"/>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5248"/>
    <w:rsid w:val="0002541C"/>
    <w:rsid w:val="00025F74"/>
    <w:rsid w:val="00030AFB"/>
    <w:rsid w:val="00054AE8"/>
    <w:rsid w:val="000560E4"/>
    <w:rsid w:val="00057FCF"/>
    <w:rsid w:val="0006075E"/>
    <w:rsid w:val="000616E7"/>
    <w:rsid w:val="0006419E"/>
    <w:rsid w:val="0006530A"/>
    <w:rsid w:val="00065C07"/>
    <w:rsid w:val="000661A1"/>
    <w:rsid w:val="00076414"/>
    <w:rsid w:val="000841DE"/>
    <w:rsid w:val="00096A11"/>
    <w:rsid w:val="000B17E1"/>
    <w:rsid w:val="000B2EF5"/>
    <w:rsid w:val="000C49CF"/>
    <w:rsid w:val="000C60E9"/>
    <w:rsid w:val="000D2953"/>
    <w:rsid w:val="000E2B32"/>
    <w:rsid w:val="000E3FAD"/>
    <w:rsid w:val="000E4278"/>
    <w:rsid w:val="000F48DF"/>
    <w:rsid w:val="000F63D2"/>
    <w:rsid w:val="00100048"/>
    <w:rsid w:val="001038BA"/>
    <w:rsid w:val="001043A0"/>
    <w:rsid w:val="001072FB"/>
    <w:rsid w:val="00115863"/>
    <w:rsid w:val="00117FD7"/>
    <w:rsid w:val="00125A07"/>
    <w:rsid w:val="001423F2"/>
    <w:rsid w:val="001479E1"/>
    <w:rsid w:val="001509F5"/>
    <w:rsid w:val="001524FF"/>
    <w:rsid w:val="00156622"/>
    <w:rsid w:val="00164153"/>
    <w:rsid w:val="00164DEC"/>
    <w:rsid w:val="00165283"/>
    <w:rsid w:val="00175ABB"/>
    <w:rsid w:val="00181C6C"/>
    <w:rsid w:val="00186BEA"/>
    <w:rsid w:val="0019108D"/>
    <w:rsid w:val="001A1955"/>
    <w:rsid w:val="001B2603"/>
    <w:rsid w:val="001B6F70"/>
    <w:rsid w:val="001B7692"/>
    <w:rsid w:val="001C0B0A"/>
    <w:rsid w:val="001C6D96"/>
    <w:rsid w:val="001D5722"/>
    <w:rsid w:val="001E4817"/>
    <w:rsid w:val="001F0622"/>
    <w:rsid w:val="001F4043"/>
    <w:rsid w:val="002013B7"/>
    <w:rsid w:val="00210A66"/>
    <w:rsid w:val="00215B61"/>
    <w:rsid w:val="00234015"/>
    <w:rsid w:val="002470F5"/>
    <w:rsid w:val="00247830"/>
    <w:rsid w:val="00247E43"/>
    <w:rsid w:val="00252047"/>
    <w:rsid w:val="00254B63"/>
    <w:rsid w:val="0026214B"/>
    <w:rsid w:val="0026500B"/>
    <w:rsid w:val="00265979"/>
    <w:rsid w:val="002808D2"/>
    <w:rsid w:val="002827A0"/>
    <w:rsid w:val="00293695"/>
    <w:rsid w:val="002A316C"/>
    <w:rsid w:val="002A5B55"/>
    <w:rsid w:val="002B2219"/>
    <w:rsid w:val="002C048F"/>
    <w:rsid w:val="002C328E"/>
    <w:rsid w:val="002C5512"/>
    <w:rsid w:val="002D4F62"/>
    <w:rsid w:val="002D6887"/>
    <w:rsid w:val="002D71B0"/>
    <w:rsid w:val="002E6F37"/>
    <w:rsid w:val="002F19F5"/>
    <w:rsid w:val="002F2585"/>
    <w:rsid w:val="002F40F9"/>
    <w:rsid w:val="00311254"/>
    <w:rsid w:val="00315758"/>
    <w:rsid w:val="003230E6"/>
    <w:rsid w:val="00323D96"/>
    <w:rsid w:val="003249DC"/>
    <w:rsid w:val="00324D75"/>
    <w:rsid w:val="00325F80"/>
    <w:rsid w:val="00326E3D"/>
    <w:rsid w:val="00332EAA"/>
    <w:rsid w:val="00337CEF"/>
    <w:rsid w:val="00357BB4"/>
    <w:rsid w:val="003620DB"/>
    <w:rsid w:val="0036596C"/>
    <w:rsid w:val="00374EB0"/>
    <w:rsid w:val="0039383A"/>
    <w:rsid w:val="003A1BB2"/>
    <w:rsid w:val="003A46E8"/>
    <w:rsid w:val="003A4FAA"/>
    <w:rsid w:val="003B2E73"/>
    <w:rsid w:val="003C115C"/>
    <w:rsid w:val="003C6FA4"/>
    <w:rsid w:val="003D0E85"/>
    <w:rsid w:val="003F371D"/>
    <w:rsid w:val="003F5E38"/>
    <w:rsid w:val="003F6536"/>
    <w:rsid w:val="004028EA"/>
    <w:rsid w:val="004072EB"/>
    <w:rsid w:val="0041433C"/>
    <w:rsid w:val="00414888"/>
    <w:rsid w:val="00415910"/>
    <w:rsid w:val="00416FB1"/>
    <w:rsid w:val="00425C9C"/>
    <w:rsid w:val="00426D72"/>
    <w:rsid w:val="00442147"/>
    <w:rsid w:val="00445E62"/>
    <w:rsid w:val="00474E90"/>
    <w:rsid w:val="004837B8"/>
    <w:rsid w:val="00485684"/>
    <w:rsid w:val="004A422B"/>
    <w:rsid w:val="004A6383"/>
    <w:rsid w:val="004B7974"/>
    <w:rsid w:val="004C2127"/>
    <w:rsid w:val="004C7405"/>
    <w:rsid w:val="004D27DB"/>
    <w:rsid w:val="004E3164"/>
    <w:rsid w:val="004F75D6"/>
    <w:rsid w:val="00510360"/>
    <w:rsid w:val="005141DE"/>
    <w:rsid w:val="00522248"/>
    <w:rsid w:val="00525C1F"/>
    <w:rsid w:val="00527316"/>
    <w:rsid w:val="00532BBD"/>
    <w:rsid w:val="00537BE5"/>
    <w:rsid w:val="0054645F"/>
    <w:rsid w:val="005465FC"/>
    <w:rsid w:val="00550CAA"/>
    <w:rsid w:val="005550AA"/>
    <w:rsid w:val="005642C1"/>
    <w:rsid w:val="0056775F"/>
    <w:rsid w:val="005721D6"/>
    <w:rsid w:val="00572778"/>
    <w:rsid w:val="0057742C"/>
    <w:rsid w:val="00591BCC"/>
    <w:rsid w:val="005955A8"/>
    <w:rsid w:val="005B04DC"/>
    <w:rsid w:val="005B1DC7"/>
    <w:rsid w:val="005B3F4C"/>
    <w:rsid w:val="005B4E00"/>
    <w:rsid w:val="005C2914"/>
    <w:rsid w:val="005C43FE"/>
    <w:rsid w:val="005D4066"/>
    <w:rsid w:val="005E43A2"/>
    <w:rsid w:val="005F4E37"/>
    <w:rsid w:val="00612FE4"/>
    <w:rsid w:val="00623AB2"/>
    <w:rsid w:val="00626F10"/>
    <w:rsid w:val="00633E8A"/>
    <w:rsid w:val="00634CD2"/>
    <w:rsid w:val="00647274"/>
    <w:rsid w:val="00656251"/>
    <w:rsid w:val="00661FAC"/>
    <w:rsid w:val="0066246C"/>
    <w:rsid w:val="00663CAA"/>
    <w:rsid w:val="0066524B"/>
    <w:rsid w:val="00665C87"/>
    <w:rsid w:val="00672E68"/>
    <w:rsid w:val="00674B0C"/>
    <w:rsid w:val="006846F1"/>
    <w:rsid w:val="00685423"/>
    <w:rsid w:val="00692568"/>
    <w:rsid w:val="006A0E24"/>
    <w:rsid w:val="006A6C40"/>
    <w:rsid w:val="006C0DF3"/>
    <w:rsid w:val="006C2538"/>
    <w:rsid w:val="006C733E"/>
    <w:rsid w:val="006D7408"/>
    <w:rsid w:val="0070171D"/>
    <w:rsid w:val="00711C55"/>
    <w:rsid w:val="007261C1"/>
    <w:rsid w:val="007267E6"/>
    <w:rsid w:val="0073026A"/>
    <w:rsid w:val="00746054"/>
    <w:rsid w:val="007545AF"/>
    <w:rsid w:val="00754698"/>
    <w:rsid w:val="0076406E"/>
    <w:rsid w:val="007764AD"/>
    <w:rsid w:val="007765B5"/>
    <w:rsid w:val="00784201"/>
    <w:rsid w:val="00785C93"/>
    <w:rsid w:val="0079269A"/>
    <w:rsid w:val="00793B14"/>
    <w:rsid w:val="00797597"/>
    <w:rsid w:val="007B09A6"/>
    <w:rsid w:val="007C22DA"/>
    <w:rsid w:val="007D2E71"/>
    <w:rsid w:val="007D3C1B"/>
    <w:rsid w:val="007D5D6B"/>
    <w:rsid w:val="007E70EC"/>
    <w:rsid w:val="007F089F"/>
    <w:rsid w:val="007F5576"/>
    <w:rsid w:val="007F5EF5"/>
    <w:rsid w:val="0080157A"/>
    <w:rsid w:val="008033FD"/>
    <w:rsid w:val="00806533"/>
    <w:rsid w:val="00814B4C"/>
    <w:rsid w:val="00815AA2"/>
    <w:rsid w:val="00847044"/>
    <w:rsid w:val="00852AA1"/>
    <w:rsid w:val="008554B7"/>
    <w:rsid w:val="0085704C"/>
    <w:rsid w:val="00866FC5"/>
    <w:rsid w:val="00871918"/>
    <w:rsid w:val="00874A20"/>
    <w:rsid w:val="00880064"/>
    <w:rsid w:val="00882FC8"/>
    <w:rsid w:val="00896EB6"/>
    <w:rsid w:val="00897CAE"/>
    <w:rsid w:val="008A20BB"/>
    <w:rsid w:val="008A5149"/>
    <w:rsid w:val="008B3A61"/>
    <w:rsid w:val="008B60E9"/>
    <w:rsid w:val="008C04F4"/>
    <w:rsid w:val="008C379D"/>
    <w:rsid w:val="008D6EDE"/>
    <w:rsid w:val="008E4D2E"/>
    <w:rsid w:val="008E5E75"/>
    <w:rsid w:val="008E7EFD"/>
    <w:rsid w:val="008F5291"/>
    <w:rsid w:val="008F5394"/>
    <w:rsid w:val="009340D8"/>
    <w:rsid w:val="00941757"/>
    <w:rsid w:val="009420B4"/>
    <w:rsid w:val="0095041E"/>
    <w:rsid w:val="00954EC3"/>
    <w:rsid w:val="00957892"/>
    <w:rsid w:val="00963702"/>
    <w:rsid w:val="0096405F"/>
    <w:rsid w:val="00976F65"/>
    <w:rsid w:val="00981D79"/>
    <w:rsid w:val="009A2D57"/>
    <w:rsid w:val="009A3702"/>
    <w:rsid w:val="009A6AF1"/>
    <w:rsid w:val="009B4ACC"/>
    <w:rsid w:val="009C33B0"/>
    <w:rsid w:val="009C61D3"/>
    <w:rsid w:val="009E77A8"/>
    <w:rsid w:val="009F238E"/>
    <w:rsid w:val="009F4789"/>
    <w:rsid w:val="009F5CE2"/>
    <w:rsid w:val="00A06FDC"/>
    <w:rsid w:val="00A10B96"/>
    <w:rsid w:val="00A114FB"/>
    <w:rsid w:val="00A146C1"/>
    <w:rsid w:val="00A16864"/>
    <w:rsid w:val="00A23B5C"/>
    <w:rsid w:val="00A2739E"/>
    <w:rsid w:val="00A35103"/>
    <w:rsid w:val="00A4438C"/>
    <w:rsid w:val="00A63E97"/>
    <w:rsid w:val="00A749C6"/>
    <w:rsid w:val="00A74F93"/>
    <w:rsid w:val="00A81938"/>
    <w:rsid w:val="00A863B1"/>
    <w:rsid w:val="00AA5C02"/>
    <w:rsid w:val="00AB233D"/>
    <w:rsid w:val="00AB3D4F"/>
    <w:rsid w:val="00AB7FCD"/>
    <w:rsid w:val="00AC622A"/>
    <w:rsid w:val="00AD1ED8"/>
    <w:rsid w:val="00AD5731"/>
    <w:rsid w:val="00AE20BF"/>
    <w:rsid w:val="00B06D2D"/>
    <w:rsid w:val="00B13CFA"/>
    <w:rsid w:val="00B14DED"/>
    <w:rsid w:val="00B24050"/>
    <w:rsid w:val="00B25ECE"/>
    <w:rsid w:val="00B3556A"/>
    <w:rsid w:val="00B47254"/>
    <w:rsid w:val="00B633FF"/>
    <w:rsid w:val="00B75907"/>
    <w:rsid w:val="00B87395"/>
    <w:rsid w:val="00B947E4"/>
    <w:rsid w:val="00B9775D"/>
    <w:rsid w:val="00BA1E47"/>
    <w:rsid w:val="00BB0339"/>
    <w:rsid w:val="00BB08A2"/>
    <w:rsid w:val="00BC2BBF"/>
    <w:rsid w:val="00BC450B"/>
    <w:rsid w:val="00BE627B"/>
    <w:rsid w:val="00C128D1"/>
    <w:rsid w:val="00C26C0C"/>
    <w:rsid w:val="00C318F9"/>
    <w:rsid w:val="00C32309"/>
    <w:rsid w:val="00C324C1"/>
    <w:rsid w:val="00C34133"/>
    <w:rsid w:val="00C45186"/>
    <w:rsid w:val="00C60782"/>
    <w:rsid w:val="00C72282"/>
    <w:rsid w:val="00C86E91"/>
    <w:rsid w:val="00C874E9"/>
    <w:rsid w:val="00C87C35"/>
    <w:rsid w:val="00C90CA1"/>
    <w:rsid w:val="00C940F3"/>
    <w:rsid w:val="00CA00EE"/>
    <w:rsid w:val="00CA6C3F"/>
    <w:rsid w:val="00CB2076"/>
    <w:rsid w:val="00CB4FEE"/>
    <w:rsid w:val="00CD02F3"/>
    <w:rsid w:val="00CD2908"/>
    <w:rsid w:val="00CD4255"/>
    <w:rsid w:val="00CD532E"/>
    <w:rsid w:val="00CD6CFE"/>
    <w:rsid w:val="00CE75EF"/>
    <w:rsid w:val="00CF1255"/>
    <w:rsid w:val="00CF1ECC"/>
    <w:rsid w:val="00CF6789"/>
    <w:rsid w:val="00D0689F"/>
    <w:rsid w:val="00D10B68"/>
    <w:rsid w:val="00D35B00"/>
    <w:rsid w:val="00D378F4"/>
    <w:rsid w:val="00D403D5"/>
    <w:rsid w:val="00D4141A"/>
    <w:rsid w:val="00D4273C"/>
    <w:rsid w:val="00D4637C"/>
    <w:rsid w:val="00D53555"/>
    <w:rsid w:val="00D57072"/>
    <w:rsid w:val="00D63113"/>
    <w:rsid w:val="00D72B4C"/>
    <w:rsid w:val="00D8162C"/>
    <w:rsid w:val="00D830C7"/>
    <w:rsid w:val="00D84785"/>
    <w:rsid w:val="00D92EE7"/>
    <w:rsid w:val="00DA163E"/>
    <w:rsid w:val="00DA216E"/>
    <w:rsid w:val="00DA4758"/>
    <w:rsid w:val="00DA53F1"/>
    <w:rsid w:val="00DA5556"/>
    <w:rsid w:val="00DB110F"/>
    <w:rsid w:val="00DB26D3"/>
    <w:rsid w:val="00DB6331"/>
    <w:rsid w:val="00DB7D35"/>
    <w:rsid w:val="00DC0F61"/>
    <w:rsid w:val="00DC587F"/>
    <w:rsid w:val="00DC6146"/>
    <w:rsid w:val="00DE25BF"/>
    <w:rsid w:val="00DE26B3"/>
    <w:rsid w:val="00DE4F8C"/>
    <w:rsid w:val="00DF5FC3"/>
    <w:rsid w:val="00E00798"/>
    <w:rsid w:val="00E352EC"/>
    <w:rsid w:val="00E40157"/>
    <w:rsid w:val="00E45085"/>
    <w:rsid w:val="00E46FE3"/>
    <w:rsid w:val="00E5441E"/>
    <w:rsid w:val="00E632F8"/>
    <w:rsid w:val="00E75851"/>
    <w:rsid w:val="00E83DD9"/>
    <w:rsid w:val="00E86442"/>
    <w:rsid w:val="00E86A14"/>
    <w:rsid w:val="00E943EC"/>
    <w:rsid w:val="00EA2209"/>
    <w:rsid w:val="00EA359B"/>
    <w:rsid w:val="00EB5D23"/>
    <w:rsid w:val="00EB71D4"/>
    <w:rsid w:val="00EB7259"/>
    <w:rsid w:val="00EC77D6"/>
    <w:rsid w:val="00ED0693"/>
    <w:rsid w:val="00ED0A64"/>
    <w:rsid w:val="00ED11D2"/>
    <w:rsid w:val="00EE2F9C"/>
    <w:rsid w:val="00EE4E23"/>
    <w:rsid w:val="00EF5DA5"/>
    <w:rsid w:val="00F15A75"/>
    <w:rsid w:val="00F36D06"/>
    <w:rsid w:val="00F374A9"/>
    <w:rsid w:val="00F74B66"/>
    <w:rsid w:val="00F755DF"/>
    <w:rsid w:val="00F827C0"/>
    <w:rsid w:val="00F82F18"/>
    <w:rsid w:val="00F87540"/>
    <w:rsid w:val="00F919FE"/>
    <w:rsid w:val="00FA03D0"/>
    <w:rsid w:val="00FB7815"/>
    <w:rsid w:val="00FC0C71"/>
    <w:rsid w:val="00FC1E1C"/>
    <w:rsid w:val="00FD0439"/>
    <w:rsid w:val="00FD74BD"/>
    <w:rsid w:val="00FE2A59"/>
    <w:rsid w:val="03FD60AD"/>
    <w:rsid w:val="06A765D7"/>
    <w:rsid w:val="06EE06AA"/>
    <w:rsid w:val="08160E8D"/>
    <w:rsid w:val="0C025BA4"/>
    <w:rsid w:val="0D5B2C5D"/>
    <w:rsid w:val="10036F74"/>
    <w:rsid w:val="11C10E95"/>
    <w:rsid w:val="13561AB1"/>
    <w:rsid w:val="1606156C"/>
    <w:rsid w:val="1763479D"/>
    <w:rsid w:val="17903FC1"/>
    <w:rsid w:val="198C19F9"/>
    <w:rsid w:val="198F123E"/>
    <w:rsid w:val="1D61094D"/>
    <w:rsid w:val="2DEA08AD"/>
    <w:rsid w:val="302D403E"/>
    <w:rsid w:val="34190265"/>
    <w:rsid w:val="35A47211"/>
    <w:rsid w:val="383F55CB"/>
    <w:rsid w:val="387F2ED0"/>
    <w:rsid w:val="3A5D5F75"/>
    <w:rsid w:val="3B8406BA"/>
    <w:rsid w:val="3E202F15"/>
    <w:rsid w:val="3FD87226"/>
    <w:rsid w:val="41652D3C"/>
    <w:rsid w:val="42D84480"/>
    <w:rsid w:val="43814152"/>
    <w:rsid w:val="44953938"/>
    <w:rsid w:val="44E977E0"/>
    <w:rsid w:val="45BB78A0"/>
    <w:rsid w:val="46F2217B"/>
    <w:rsid w:val="48064CD8"/>
    <w:rsid w:val="480E2480"/>
    <w:rsid w:val="498B5309"/>
    <w:rsid w:val="4A4F0662"/>
    <w:rsid w:val="4BC32B39"/>
    <w:rsid w:val="4EAC3D58"/>
    <w:rsid w:val="50A54E75"/>
    <w:rsid w:val="526B217C"/>
    <w:rsid w:val="53F76A40"/>
    <w:rsid w:val="54302EBE"/>
    <w:rsid w:val="574A2360"/>
    <w:rsid w:val="58854392"/>
    <w:rsid w:val="59320EE4"/>
    <w:rsid w:val="5B3D683F"/>
    <w:rsid w:val="5CCB7A9F"/>
    <w:rsid w:val="5D026BEE"/>
    <w:rsid w:val="5DAA7FFC"/>
    <w:rsid w:val="5DC779FF"/>
    <w:rsid w:val="5DF73A74"/>
    <w:rsid w:val="5FFF5CB2"/>
    <w:rsid w:val="604858AA"/>
    <w:rsid w:val="65950693"/>
    <w:rsid w:val="65C37EAD"/>
    <w:rsid w:val="68193A36"/>
    <w:rsid w:val="68E5638C"/>
    <w:rsid w:val="69780424"/>
    <w:rsid w:val="69E44896"/>
    <w:rsid w:val="71A31C23"/>
    <w:rsid w:val="71BF2E22"/>
    <w:rsid w:val="76EA1012"/>
    <w:rsid w:val="77326F9A"/>
    <w:rsid w:val="775117FD"/>
    <w:rsid w:val="7A085137"/>
    <w:rsid w:val="7B332133"/>
    <w:rsid w:val="7DD16AF9"/>
    <w:rsid w:val="7E7C5B1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lang w:val="en-US" w:eastAsia="zh-CN" w:bidi="ar-SA"/>
    </w:rPr>
  </w:style>
  <w:style w:type="paragraph" w:styleId="3">
    <w:name w:val="heading 1"/>
    <w:basedOn w:val="1"/>
    <w:next w:val="1"/>
    <w:qFormat/>
    <w:uiPriority w:val="9"/>
    <w:pPr>
      <w:keepNext/>
      <w:keepLines/>
      <w:spacing w:before="480"/>
      <w:outlineLvl w:val="0"/>
    </w:pPr>
    <w:rPr>
      <w:rFonts w:asciiTheme="majorHAnsi" w:hAnsiTheme="majorHAnsi" w:eastAsiaTheme="majorEastAsia" w:cstheme="majorBidi"/>
      <w:b/>
      <w:bCs/>
      <w:color w:val="000000"/>
      <w:sz w:val="32"/>
      <w:szCs w:val="28"/>
    </w:rPr>
  </w:style>
  <w:style w:type="paragraph" w:styleId="4">
    <w:name w:val="heading 2"/>
    <w:basedOn w:val="1"/>
    <w:next w:val="1"/>
    <w:semiHidden/>
    <w:unhideWhenUsed/>
    <w:qFormat/>
    <w:uiPriority w:val="9"/>
    <w:pPr>
      <w:spacing w:beforeAutospacing="1" w:afterAutospacing="1"/>
      <w:jc w:val="left"/>
      <w:outlineLvl w:val="1"/>
    </w:pPr>
    <w:rPr>
      <w:rFonts w:hint="eastAsia" w:ascii="宋体" w:hAnsi="宋体" w:eastAsia="宋体"/>
      <w:b/>
      <w:bCs/>
      <w:kern w:val="0"/>
      <w:sz w:val="36"/>
      <w:szCs w:val="36"/>
    </w:rPr>
  </w:style>
  <w:style w:type="paragraph" w:styleId="5">
    <w:name w:val="heading 3"/>
    <w:basedOn w:val="1"/>
    <w:next w:val="1"/>
    <w:link w:val="33"/>
    <w:semiHidden/>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qFormat/>
    <w:uiPriority w:val="99"/>
    <w:pPr>
      <w:ind w:firstLine="420" w:firstLineChars="100"/>
    </w:pPr>
    <w:rPr>
      <w:sz w:val="24"/>
    </w:rPr>
  </w:style>
  <w:style w:type="paragraph" w:styleId="6">
    <w:name w:val="annotation text"/>
    <w:basedOn w:val="1"/>
    <w:link w:val="41"/>
    <w:semiHidden/>
    <w:unhideWhenUsed/>
    <w:qFormat/>
    <w:uiPriority w:val="99"/>
    <w:pPr>
      <w:jc w:val="left"/>
    </w:pPr>
  </w:style>
  <w:style w:type="paragraph" w:styleId="7">
    <w:name w:val="Body Text"/>
    <w:basedOn w:val="1"/>
    <w:link w:val="38"/>
    <w:semiHidden/>
    <w:unhideWhenUsed/>
    <w:qFormat/>
    <w:uiPriority w:val="99"/>
    <w:pPr>
      <w:spacing w:after="120"/>
    </w:pPr>
  </w:style>
  <w:style w:type="paragraph" w:styleId="8">
    <w:name w:val="Body Text Indent"/>
    <w:basedOn w:val="1"/>
    <w:link w:val="36"/>
    <w:semiHidden/>
    <w:unhideWhenUsed/>
    <w:qFormat/>
    <w:uiPriority w:val="99"/>
    <w:pPr>
      <w:spacing w:after="120"/>
      <w:ind w:left="420" w:leftChars="200"/>
    </w:pPr>
  </w:style>
  <w:style w:type="paragraph" w:styleId="9">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10">
    <w:name w:val="Plain Text"/>
    <w:basedOn w:val="1"/>
    <w:link w:val="23"/>
    <w:qFormat/>
    <w:uiPriority w:val="0"/>
    <w:rPr>
      <w:rFonts w:ascii="宋体" w:hAnsi="Courier New" w:eastAsia="宋体" w:cstheme="minorBidi"/>
      <w:sz w:val="21"/>
      <w:szCs w:val="22"/>
    </w:rPr>
  </w:style>
  <w:style w:type="paragraph" w:styleId="11">
    <w:name w:val="Balloon Text"/>
    <w:basedOn w:val="1"/>
    <w:link w:val="34"/>
    <w:semiHidden/>
    <w:unhideWhenUsed/>
    <w:qFormat/>
    <w:uiPriority w:val="99"/>
    <w:rPr>
      <w:sz w:val="18"/>
      <w:szCs w:val="18"/>
    </w:rPr>
  </w:style>
  <w:style w:type="paragraph" w:styleId="12">
    <w:name w:val="footer"/>
    <w:basedOn w:val="1"/>
    <w:link w:val="27"/>
    <w:unhideWhenUsed/>
    <w:qFormat/>
    <w:uiPriority w:val="0"/>
    <w:pPr>
      <w:tabs>
        <w:tab w:val="center" w:pos="4153"/>
        <w:tab w:val="right" w:pos="8306"/>
      </w:tabs>
      <w:snapToGrid w:val="0"/>
      <w:jc w:val="left"/>
    </w:pPr>
    <w:rPr>
      <w:sz w:val="18"/>
      <w:szCs w:val="18"/>
    </w:rPr>
  </w:style>
  <w:style w:type="paragraph" w:styleId="13">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99"/>
    <w:pPr>
      <w:widowControl/>
      <w:spacing w:after="150"/>
      <w:jc w:val="left"/>
    </w:pPr>
    <w:rPr>
      <w:rFonts w:ascii="宋体" w:hAnsi="宋体" w:eastAsia="宋体" w:cs="宋体"/>
      <w:kern w:val="0"/>
      <w:sz w:val="24"/>
      <w:szCs w:val="24"/>
    </w:rPr>
  </w:style>
  <w:style w:type="paragraph" w:styleId="15">
    <w:name w:val="Title"/>
    <w:basedOn w:val="1"/>
    <w:next w:val="1"/>
    <w:link w:val="32"/>
    <w:qFormat/>
    <w:uiPriority w:val="0"/>
    <w:pPr>
      <w:spacing w:before="240" w:after="60"/>
      <w:jc w:val="center"/>
      <w:outlineLvl w:val="0"/>
    </w:pPr>
    <w:rPr>
      <w:rFonts w:ascii="Cambria" w:hAnsi="Cambria" w:eastAsia="宋体"/>
      <w:b/>
      <w:bCs/>
      <w:sz w:val="32"/>
      <w:szCs w:val="32"/>
    </w:rPr>
  </w:style>
  <w:style w:type="paragraph" w:styleId="16">
    <w:name w:val="annotation subject"/>
    <w:basedOn w:val="6"/>
    <w:next w:val="6"/>
    <w:link w:val="42"/>
    <w:semiHidden/>
    <w:unhideWhenUsed/>
    <w:qFormat/>
    <w:uiPriority w:val="99"/>
    <w:rPr>
      <w:b/>
      <w:bCs/>
    </w:rPr>
  </w:style>
  <w:style w:type="paragraph" w:styleId="17">
    <w:name w:val="Body Text First Indent 2"/>
    <w:basedOn w:val="8"/>
    <w:link w:val="37"/>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rPr>
  </w:style>
  <w:style w:type="character" w:styleId="22">
    <w:name w:val="annotation reference"/>
    <w:basedOn w:val="20"/>
    <w:semiHidden/>
    <w:unhideWhenUsed/>
    <w:qFormat/>
    <w:uiPriority w:val="99"/>
    <w:rPr>
      <w:sz w:val="21"/>
      <w:szCs w:val="21"/>
    </w:rPr>
  </w:style>
  <w:style w:type="character" w:customStyle="1" w:styleId="23">
    <w:name w:val="纯文本 Char"/>
    <w:link w:val="10"/>
    <w:qFormat/>
    <w:uiPriority w:val="0"/>
    <w:rPr>
      <w:rFonts w:ascii="宋体" w:hAnsi="Courier New" w:eastAsia="宋体"/>
    </w:rPr>
  </w:style>
  <w:style w:type="paragraph" w:customStyle="1" w:styleId="24">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25">
    <w:name w:val="纯文本 Char1"/>
    <w:basedOn w:val="20"/>
    <w:qFormat/>
    <w:uiPriority w:val="0"/>
    <w:rPr>
      <w:rFonts w:ascii="宋体" w:hAnsi="Courier New" w:eastAsia="宋体" w:cs="Courier New"/>
      <w:szCs w:val="21"/>
    </w:rPr>
  </w:style>
  <w:style w:type="character" w:customStyle="1" w:styleId="26">
    <w:name w:val="页眉 Char"/>
    <w:basedOn w:val="20"/>
    <w:link w:val="13"/>
    <w:qFormat/>
    <w:uiPriority w:val="99"/>
    <w:rPr>
      <w:rFonts w:ascii="Times New Roman" w:hAnsi="Times New Roman" w:eastAsia="仿宋_GB2312" w:cs="Times New Roman"/>
      <w:sz w:val="18"/>
      <w:szCs w:val="18"/>
    </w:rPr>
  </w:style>
  <w:style w:type="character" w:customStyle="1" w:styleId="27">
    <w:name w:val="页脚 Char"/>
    <w:basedOn w:val="20"/>
    <w:link w:val="12"/>
    <w:qFormat/>
    <w:uiPriority w:val="0"/>
    <w:rPr>
      <w:rFonts w:ascii="Times New Roman" w:hAnsi="Times New Roman" w:eastAsia="仿宋_GB2312" w:cs="Times New Roman"/>
      <w:sz w:val="18"/>
      <w:szCs w:val="18"/>
    </w:rPr>
  </w:style>
  <w:style w:type="paragraph" w:styleId="28">
    <w:name w:val="List Paragraph"/>
    <w:basedOn w:val="1"/>
    <w:link w:val="29"/>
    <w:unhideWhenUsed/>
    <w:qFormat/>
    <w:uiPriority w:val="34"/>
    <w:pPr>
      <w:ind w:firstLine="420" w:firstLineChars="200"/>
    </w:pPr>
    <w:rPr>
      <w:rFonts w:ascii="Calibri" w:hAnsi="Calibri" w:eastAsia="宋体"/>
      <w:sz w:val="21"/>
      <w:szCs w:val="22"/>
    </w:rPr>
  </w:style>
  <w:style w:type="character" w:customStyle="1" w:styleId="29">
    <w:name w:val="列出段落 Char"/>
    <w:link w:val="28"/>
    <w:qFormat/>
    <w:uiPriority w:val="34"/>
    <w:rPr>
      <w:rFonts w:ascii="Calibri" w:hAnsi="Calibri" w:eastAsia="宋体" w:cs="Times New Roman"/>
    </w:rPr>
  </w:style>
  <w:style w:type="paragraph" w:customStyle="1" w:styleId="30">
    <w:name w:val="样式 标题 3H3l3CT标题222Bold Headbhlevel_3PIM 3Level 3 Heads..."/>
    <w:basedOn w:val="5"/>
    <w:link w:val="31"/>
    <w:qFormat/>
    <w:uiPriority w:val="0"/>
    <w:pPr>
      <w:jc w:val="left"/>
    </w:pPr>
    <w:rPr>
      <w:rFonts w:ascii="宋体" w:hAnsi="宋体" w:eastAsia="黑体"/>
      <w:color w:val="000000"/>
      <w:sz w:val="24"/>
    </w:rPr>
  </w:style>
  <w:style w:type="character" w:customStyle="1" w:styleId="31">
    <w:name w:val="样式 标题 3H3l3CT标题222Bold Headbhlevel_3PIM 3Level 3 Heads... Char"/>
    <w:link w:val="30"/>
    <w:qFormat/>
    <w:uiPriority w:val="0"/>
    <w:rPr>
      <w:rFonts w:ascii="宋体" w:hAnsi="宋体" w:eastAsia="黑体" w:cs="Times New Roman"/>
      <w:b/>
      <w:bCs/>
      <w:color w:val="000000"/>
      <w:sz w:val="24"/>
      <w:szCs w:val="32"/>
    </w:rPr>
  </w:style>
  <w:style w:type="character" w:customStyle="1" w:styleId="32">
    <w:name w:val="标题 Char"/>
    <w:basedOn w:val="20"/>
    <w:link w:val="15"/>
    <w:qFormat/>
    <w:uiPriority w:val="0"/>
    <w:rPr>
      <w:rFonts w:ascii="Cambria" w:hAnsi="Cambria" w:eastAsia="宋体" w:cs="Times New Roman"/>
      <w:b/>
      <w:bCs/>
      <w:sz w:val="32"/>
      <w:szCs w:val="32"/>
    </w:rPr>
  </w:style>
  <w:style w:type="character" w:customStyle="1" w:styleId="33">
    <w:name w:val="标题 3 Char"/>
    <w:basedOn w:val="20"/>
    <w:link w:val="5"/>
    <w:semiHidden/>
    <w:qFormat/>
    <w:uiPriority w:val="9"/>
    <w:rPr>
      <w:rFonts w:ascii="Times New Roman" w:hAnsi="Times New Roman" w:eastAsia="仿宋_GB2312" w:cs="Times New Roman"/>
      <w:b/>
      <w:bCs/>
      <w:sz w:val="32"/>
      <w:szCs w:val="32"/>
    </w:rPr>
  </w:style>
  <w:style w:type="character" w:customStyle="1" w:styleId="34">
    <w:name w:val="批注框文本 Char"/>
    <w:basedOn w:val="20"/>
    <w:link w:val="11"/>
    <w:semiHidden/>
    <w:qFormat/>
    <w:uiPriority w:val="99"/>
    <w:rPr>
      <w:rFonts w:ascii="Times New Roman" w:hAnsi="Times New Roman" w:eastAsia="仿宋_GB2312" w:cs="Times New Roman"/>
      <w:sz w:val="18"/>
      <w:szCs w:val="18"/>
    </w:rPr>
  </w:style>
  <w:style w:type="paragraph" w:customStyle="1" w:styleId="35">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正文文本缩进 Char"/>
    <w:basedOn w:val="20"/>
    <w:link w:val="8"/>
    <w:semiHidden/>
    <w:qFormat/>
    <w:uiPriority w:val="99"/>
    <w:rPr>
      <w:rFonts w:ascii="Times New Roman" w:hAnsi="Times New Roman" w:eastAsia="仿宋_GB2312" w:cs="Times New Roman"/>
      <w:sz w:val="30"/>
      <w:szCs w:val="20"/>
    </w:rPr>
  </w:style>
  <w:style w:type="character" w:customStyle="1" w:styleId="37">
    <w:name w:val="正文首行缩进 2 Char"/>
    <w:basedOn w:val="36"/>
    <w:link w:val="17"/>
    <w:qFormat/>
    <w:uiPriority w:val="0"/>
    <w:rPr>
      <w:rFonts w:ascii="仿宋_GB2312" w:hAnsi="Times New Roman" w:eastAsia="仿宋_GB2312" w:cs="Times New Roman"/>
      <w:kern w:val="0"/>
      <w:sz w:val="28"/>
      <w:szCs w:val="20"/>
    </w:rPr>
  </w:style>
  <w:style w:type="character" w:customStyle="1" w:styleId="38">
    <w:name w:val="正文文本 Char"/>
    <w:basedOn w:val="20"/>
    <w:link w:val="7"/>
    <w:semiHidden/>
    <w:qFormat/>
    <w:uiPriority w:val="99"/>
    <w:rPr>
      <w:rFonts w:ascii="Times New Roman" w:hAnsi="Times New Roman" w:eastAsia="仿宋_GB2312" w:cs="Times New Roman"/>
      <w:sz w:val="30"/>
      <w:szCs w:val="20"/>
    </w:rPr>
  </w:style>
  <w:style w:type="paragraph" w:styleId="39">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0">
    <w:name w:val="null3"/>
    <w:hidden/>
    <w:qFormat/>
    <w:uiPriority w:val="0"/>
    <w:rPr>
      <w:rFonts w:hint="eastAsia" w:asciiTheme="minorHAnsi" w:hAnsiTheme="minorHAnsi" w:eastAsiaTheme="minorEastAsia" w:cstheme="minorBidi"/>
      <w:lang w:val="en-US" w:eastAsia="zh-CN" w:bidi="ar-SA"/>
    </w:rPr>
  </w:style>
  <w:style w:type="character" w:customStyle="1" w:styleId="41">
    <w:name w:val="批注文字 Char"/>
    <w:basedOn w:val="20"/>
    <w:link w:val="6"/>
    <w:semiHidden/>
    <w:qFormat/>
    <w:uiPriority w:val="99"/>
    <w:rPr>
      <w:rFonts w:eastAsia="仿宋_GB2312"/>
      <w:kern w:val="2"/>
      <w:sz w:val="30"/>
    </w:rPr>
  </w:style>
  <w:style w:type="character" w:customStyle="1" w:styleId="42">
    <w:name w:val="批注主题 Char"/>
    <w:basedOn w:val="41"/>
    <w:link w:val="16"/>
    <w:semiHidden/>
    <w:qFormat/>
    <w:uiPriority w:val="99"/>
    <w:rPr>
      <w:rFonts w:eastAsia="仿宋_GB2312"/>
      <w:b/>
      <w:bCs/>
      <w:kern w:val="2"/>
      <w:sz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6892</Words>
  <Characters>7374</Characters>
  <Lines>65</Lines>
  <Paragraphs>18</Paragraphs>
  <TotalTime>3</TotalTime>
  <ScaleCrop>false</ScaleCrop>
  <LinksUpToDate>false</LinksUpToDate>
  <CharactersWithSpaces>7417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2024-10-08T09:06:00Z</dcterms:created>
  <dc:creator>admin</dc:creator>
  <cp:lastModifiedBy>朱</cp:lastModifiedBy>
  <cp:lastPrinted>2026-10-22T23:55:00Z</cp:lastPrinted>
  <dcterms:modified xsi:type="dcterms:W3CDTF">2026-11-03T06:43:28Z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227360B5B06141F49CD0335415FF6F4E_13</vt:lpwstr>
  </property>
  <property fmtid="{D5CDD505-2E9C-101B-9397-08002B2CF9AE}" pid="4" name="KSOTemplateDocerSaveRecord">
    <vt:lpwstr>eyJoZGlkIjoiNjNmZWU4NDg2ODZlNDQzODA2NDMyZDg1YTU1MDJlNjMiLCJ1c2VySWQiOiIzNjQ2ODU4NzgifQ==</vt:lpwstr>
  </property>
</Properties>
</file>