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384340">
      <w:pPr>
        <w:widowControl/>
        <w:spacing w:line="600" w:lineRule="exact"/>
        <w:jc w:val="center"/>
        <w:rPr>
          <w:rFonts w:hint="eastAsia" w:cs="Helvetica" w:asciiTheme="minorEastAsia" w:hAnsiTheme="minorEastAsia" w:eastAsiaTheme="minorEastAsia"/>
          <w:b/>
          <w:color w:val="000000" w:themeColor="text1"/>
          <w:kern w:val="0"/>
          <w:sz w:val="36"/>
          <w:szCs w:val="36"/>
          <w14:textFill>
            <w14:solidFill>
              <w14:schemeClr w14:val="tx1"/>
            </w14:solidFill>
          </w14:textFill>
        </w:rPr>
      </w:pPr>
      <w:bookmarkStart w:id="0" w:name="_Toc12355_WPSOffice_Level1"/>
      <w:r>
        <w:rPr>
          <w:rFonts w:hint="eastAsia" w:cs="Helvetica" w:asciiTheme="minorEastAsia" w:hAnsiTheme="minorEastAsia" w:eastAsiaTheme="minorEastAsia"/>
          <w:b/>
          <w:color w:val="000000" w:themeColor="text1"/>
          <w:kern w:val="0"/>
          <w:sz w:val="36"/>
          <w:szCs w:val="36"/>
          <w14:textFill>
            <w14:solidFill>
              <w14:schemeClr w14:val="tx1"/>
            </w14:solidFill>
          </w14:textFill>
        </w:rPr>
        <w:t>江门市技师学院</w:t>
      </w:r>
    </w:p>
    <w:p w14:paraId="6E87C497">
      <w:pPr>
        <w:widowControl/>
        <w:spacing w:line="600" w:lineRule="exact"/>
        <w:jc w:val="center"/>
        <w:rPr>
          <w:rFonts w:cs="Helvetica" w:asciiTheme="minorEastAsia" w:hAnsiTheme="minorEastAsia" w:eastAsiaTheme="minorEastAsia"/>
          <w:b/>
          <w:color w:val="000000" w:themeColor="text1"/>
          <w:kern w:val="0"/>
          <w:sz w:val="36"/>
          <w:szCs w:val="36"/>
          <w14:textFill>
            <w14:solidFill>
              <w14:schemeClr w14:val="tx1"/>
            </w14:solidFill>
          </w14:textFill>
        </w:rPr>
      </w:pPr>
      <w:r>
        <w:rPr>
          <w:rFonts w:hint="eastAsia" w:cs="Helvetica" w:asciiTheme="minorEastAsia" w:hAnsiTheme="minorEastAsia" w:eastAsiaTheme="minorEastAsia"/>
          <w:b/>
          <w:color w:val="000000" w:themeColor="text1"/>
          <w:kern w:val="0"/>
          <w:sz w:val="36"/>
          <w:szCs w:val="36"/>
          <w14:textFill>
            <w14:solidFill>
              <w14:schemeClr w14:val="tx1"/>
            </w14:solidFill>
          </w14:textFill>
        </w:rPr>
        <w:t>“科创一条街”办公家具采购项目需求书</w:t>
      </w:r>
    </w:p>
    <w:p w14:paraId="582CE449">
      <w:pPr>
        <w:widowControl/>
        <w:spacing w:line="600" w:lineRule="exact"/>
        <w:jc w:val="center"/>
        <w:rPr>
          <w:rFonts w:cs="宋体" w:asciiTheme="minorEastAsia" w:hAnsiTheme="minorEastAsia" w:eastAsiaTheme="minorEastAsia"/>
          <w:b/>
          <w:bCs/>
          <w:kern w:val="0"/>
          <w:szCs w:val="30"/>
        </w:rPr>
      </w:pPr>
      <w:r>
        <w:rPr>
          <w:rFonts w:hint="eastAsia" w:cs="宋体" w:asciiTheme="minorEastAsia" w:hAnsiTheme="minorEastAsia" w:eastAsiaTheme="minorEastAsia"/>
          <w:b/>
          <w:bCs/>
          <w:kern w:val="0"/>
          <w:szCs w:val="30"/>
        </w:rPr>
        <w:t>第一章 用户需求书</w:t>
      </w:r>
      <w:bookmarkEnd w:id="0"/>
    </w:p>
    <w:p w14:paraId="71F80879">
      <w:pPr>
        <w:widowControl/>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一、项目基本情况</w:t>
      </w:r>
    </w:p>
    <w:tbl>
      <w:tblPr>
        <w:tblStyle w:val="14"/>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285"/>
        <w:gridCol w:w="3467"/>
        <w:gridCol w:w="1724"/>
        <w:gridCol w:w="2492"/>
      </w:tblGrid>
      <w:tr w14:paraId="5E8BDA9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285" w:type="dxa"/>
            <w:vAlign w:val="center"/>
          </w:tcPr>
          <w:p w14:paraId="0C579FF5">
            <w:pPr>
              <w:spacing w:line="360" w:lineRule="auto"/>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项目名称</w:t>
            </w:r>
          </w:p>
        </w:tc>
        <w:tc>
          <w:tcPr>
            <w:tcW w:w="3467" w:type="dxa"/>
            <w:vAlign w:val="center"/>
          </w:tcPr>
          <w:p w14:paraId="0E3AC521">
            <w:pPr>
              <w:widowControl/>
              <w:spacing w:line="360" w:lineRule="auto"/>
              <w:jc w:val="center"/>
              <w:rPr>
                <w:rFonts w:cs="宋体" w:asciiTheme="minorEastAsia" w:hAnsiTheme="minorEastAsia" w:eastAsiaTheme="minorEastAsia"/>
                <w:bCs/>
                <w:color w:val="000000" w:themeColor="text1"/>
                <w:kern w:val="0"/>
                <w:sz w:val="24"/>
                <w:szCs w:val="24"/>
                <w14:textFill>
                  <w14:solidFill>
                    <w14:schemeClr w14:val="tx1"/>
                  </w14:solidFill>
                </w14:textFill>
              </w:rPr>
            </w:pPr>
            <w:r>
              <w:rPr>
                <w:rFonts w:hint="eastAsia" w:cs="宋体" w:asciiTheme="minorEastAsia" w:hAnsiTheme="minorEastAsia" w:eastAsiaTheme="minorEastAsia"/>
                <w:b w:val="0"/>
                <w:bCs/>
                <w:color w:val="auto"/>
                <w:kern w:val="0"/>
                <w:sz w:val="24"/>
                <w:szCs w:val="24"/>
              </w:rPr>
              <w:t>江门市技师学院“科创一条街”办公家具采购项目</w:t>
            </w:r>
          </w:p>
        </w:tc>
        <w:tc>
          <w:tcPr>
            <w:tcW w:w="1724" w:type="dxa"/>
            <w:vAlign w:val="center"/>
          </w:tcPr>
          <w:p w14:paraId="701A5EFB">
            <w:pPr>
              <w:spacing w:line="360" w:lineRule="auto"/>
              <w:jc w:val="center"/>
              <w:rPr>
                <w:rFonts w:cs="宋体" w:asciiTheme="minorEastAsia" w:hAnsiTheme="minorEastAsia" w:eastAsiaTheme="minorEastAsia"/>
                <w:bCs/>
                <w:kern w:val="0"/>
                <w:sz w:val="24"/>
                <w:szCs w:val="24"/>
              </w:rPr>
            </w:pPr>
            <w:r>
              <w:rPr>
                <w:rFonts w:hint="eastAsia" w:ascii="宋体" w:hAnsi="宋体" w:eastAsia="宋体" w:cs="宋体"/>
                <w:sz w:val="24"/>
                <w:szCs w:val="24"/>
              </w:rPr>
              <w:t>项目编号</w:t>
            </w:r>
          </w:p>
        </w:tc>
        <w:tc>
          <w:tcPr>
            <w:tcW w:w="2492" w:type="dxa"/>
            <w:vAlign w:val="center"/>
          </w:tcPr>
          <w:p w14:paraId="73111BE0">
            <w:pPr>
              <w:spacing w:line="360" w:lineRule="auto"/>
              <w:jc w:val="center"/>
              <w:rPr>
                <w:rFonts w:hint="eastAsia" w:cs="宋体" w:asciiTheme="minorEastAsia" w:hAnsiTheme="minorEastAsia" w:eastAsiaTheme="minorEastAsia"/>
                <w:bCs/>
                <w:kern w:val="0"/>
                <w:sz w:val="24"/>
                <w:szCs w:val="24"/>
                <w:lang w:val="en-US" w:eastAsia="zh-CN"/>
              </w:rPr>
            </w:pPr>
            <w:r>
              <w:rPr>
                <w:rFonts w:hint="eastAsia" w:cs="宋体" w:asciiTheme="minorEastAsia" w:hAnsiTheme="minorEastAsia" w:eastAsiaTheme="minorEastAsia"/>
                <w:bCs/>
                <w:kern w:val="0"/>
                <w:sz w:val="24"/>
                <w:szCs w:val="24"/>
                <w:lang w:val="en-US" w:eastAsia="zh-CN"/>
              </w:rPr>
              <w:t>jys-cgzx-2026-34</w:t>
            </w:r>
          </w:p>
        </w:tc>
      </w:tr>
      <w:tr w14:paraId="64D51E2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285" w:type="dxa"/>
            <w:vAlign w:val="center"/>
          </w:tcPr>
          <w:p w14:paraId="6BF2A08C">
            <w:pPr>
              <w:spacing w:line="360" w:lineRule="auto"/>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采购预算/最高限价</w:t>
            </w:r>
          </w:p>
        </w:tc>
        <w:tc>
          <w:tcPr>
            <w:tcW w:w="3467" w:type="dxa"/>
            <w:vAlign w:val="center"/>
          </w:tcPr>
          <w:p w14:paraId="1304515A">
            <w:pPr>
              <w:spacing w:line="360" w:lineRule="auto"/>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¥36</w:t>
            </w:r>
            <w:r>
              <w:rPr>
                <w:rFonts w:hint="eastAsia" w:cs="宋体" w:asciiTheme="minorEastAsia" w:hAnsiTheme="minorEastAsia" w:eastAsiaTheme="minorEastAsia"/>
                <w:bCs/>
                <w:kern w:val="0"/>
                <w:sz w:val="24"/>
                <w:szCs w:val="24"/>
                <w:lang w:val="en-US" w:eastAsia="zh-CN"/>
              </w:rPr>
              <w:t>193</w:t>
            </w:r>
            <w:r>
              <w:rPr>
                <w:rFonts w:hint="eastAsia" w:cs="宋体" w:asciiTheme="minorEastAsia" w:hAnsiTheme="minorEastAsia" w:eastAsiaTheme="minorEastAsia"/>
                <w:bCs/>
                <w:kern w:val="0"/>
                <w:sz w:val="24"/>
                <w:szCs w:val="24"/>
              </w:rPr>
              <w:t>元（大写：人民币</w:t>
            </w:r>
            <w:r>
              <w:rPr>
                <w:rFonts w:hint="eastAsia" w:cs="宋体" w:asciiTheme="minorEastAsia" w:hAnsiTheme="minorEastAsia" w:eastAsiaTheme="minorEastAsia"/>
                <w:bCs/>
                <w:kern w:val="0"/>
                <w:sz w:val="24"/>
                <w:szCs w:val="24"/>
                <w:lang w:val="en-US" w:eastAsia="zh-CN"/>
              </w:rPr>
              <w:t>叁万陆仟壹佰玖拾叁元整</w:t>
            </w:r>
            <w:r>
              <w:rPr>
                <w:rFonts w:hint="eastAsia" w:cs="宋体" w:asciiTheme="minorEastAsia" w:hAnsiTheme="minorEastAsia" w:eastAsiaTheme="minorEastAsia"/>
                <w:bCs/>
                <w:kern w:val="0"/>
                <w:sz w:val="24"/>
                <w:szCs w:val="24"/>
              </w:rPr>
              <w:t>）</w:t>
            </w:r>
          </w:p>
        </w:tc>
        <w:tc>
          <w:tcPr>
            <w:tcW w:w="1724" w:type="dxa"/>
            <w:vAlign w:val="center"/>
          </w:tcPr>
          <w:p w14:paraId="659D780B">
            <w:pPr>
              <w:spacing w:line="360" w:lineRule="auto"/>
              <w:jc w:val="center"/>
              <w:rPr>
                <w:rFonts w:cs="宋体" w:asciiTheme="minorEastAsia" w:hAnsiTheme="minorEastAsia" w:eastAsiaTheme="minorEastAsia"/>
                <w:bCs/>
                <w:kern w:val="0"/>
                <w:sz w:val="24"/>
                <w:szCs w:val="24"/>
              </w:rPr>
            </w:pPr>
            <w:r>
              <w:rPr>
                <w:rFonts w:hint="eastAsia" w:ascii="宋体" w:hAnsi="宋体" w:eastAsia="宋体" w:cs="宋体"/>
                <w:sz w:val="24"/>
              </w:rPr>
              <w:t>履行期限</w:t>
            </w:r>
          </w:p>
        </w:tc>
        <w:tc>
          <w:tcPr>
            <w:tcW w:w="2492" w:type="dxa"/>
            <w:vAlign w:val="center"/>
          </w:tcPr>
          <w:p w14:paraId="3637511D">
            <w:pPr>
              <w:spacing w:line="360" w:lineRule="auto"/>
              <w:jc w:val="center"/>
              <w:rPr>
                <w:rFonts w:cs="宋体" w:asciiTheme="minorEastAsia" w:hAnsiTheme="minorEastAsia" w:eastAsiaTheme="minorEastAsia"/>
                <w:bCs/>
                <w:kern w:val="0"/>
                <w:sz w:val="24"/>
                <w:szCs w:val="24"/>
              </w:rPr>
            </w:pPr>
            <w:r>
              <w:rPr>
                <w:rFonts w:hint="eastAsia" w:ascii="宋体" w:hAnsi="宋体" w:eastAsia="宋体" w:cs="宋体"/>
                <w:sz w:val="24"/>
              </w:rPr>
              <w:t>合同签订生效之日起</w:t>
            </w:r>
            <w:r>
              <w:rPr>
                <w:rFonts w:hint="eastAsia" w:ascii="宋体" w:hAnsi="宋体" w:eastAsia="宋体" w:cs="宋体"/>
                <w:color w:val="000000" w:themeColor="text1"/>
                <w:sz w:val="24"/>
                <w14:textFill>
                  <w14:solidFill>
                    <w14:schemeClr w14:val="tx1"/>
                  </w14:solidFill>
                </w14:textFill>
              </w:rPr>
              <w:t>30个</w:t>
            </w:r>
            <w:r>
              <w:rPr>
                <w:rFonts w:hint="eastAsia" w:ascii="宋体" w:hAnsi="宋体" w:eastAsia="宋体" w:cs="宋体"/>
                <w:sz w:val="24"/>
              </w:rPr>
              <w:t>日历日内完成</w:t>
            </w:r>
          </w:p>
        </w:tc>
      </w:tr>
      <w:tr w14:paraId="2CC3E04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285" w:type="dxa"/>
            <w:vAlign w:val="center"/>
          </w:tcPr>
          <w:p w14:paraId="0149BB9A">
            <w:pPr>
              <w:spacing w:line="360" w:lineRule="auto"/>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评标办法</w:t>
            </w:r>
          </w:p>
        </w:tc>
        <w:tc>
          <w:tcPr>
            <w:tcW w:w="3467" w:type="dxa"/>
            <w:vAlign w:val="center"/>
          </w:tcPr>
          <w:p w14:paraId="100DE4B8">
            <w:pPr>
              <w:spacing w:line="360" w:lineRule="auto"/>
              <w:jc w:val="center"/>
              <w:rPr>
                <w:rFonts w:cs="宋体" w:asciiTheme="minorEastAsia" w:hAnsiTheme="minorEastAsia" w:eastAsiaTheme="minorEastAsia"/>
                <w:bCs/>
                <w:color w:val="000000" w:themeColor="text1"/>
                <w:kern w:val="0"/>
                <w:sz w:val="24"/>
                <w:szCs w:val="24"/>
                <w14:textFill>
                  <w14:solidFill>
                    <w14:schemeClr w14:val="tx1"/>
                  </w14:solidFill>
                </w14:textFill>
              </w:rPr>
            </w:pPr>
            <w:r>
              <w:rPr>
                <w:rFonts w:hint="eastAsia" w:asciiTheme="minorEastAsia" w:hAnsiTheme="minorEastAsia" w:eastAsiaTheme="minorEastAsia"/>
                <w:color w:val="000000" w:themeColor="text1"/>
                <w:kern w:val="28"/>
                <w:sz w:val="24"/>
                <w:szCs w:val="24"/>
                <w14:textFill>
                  <w14:solidFill>
                    <w14:schemeClr w14:val="tx1"/>
                  </w14:solidFill>
                </w14:textFill>
              </w:rPr>
              <w:t>最低评标价法</w:t>
            </w:r>
          </w:p>
        </w:tc>
        <w:tc>
          <w:tcPr>
            <w:tcW w:w="1724" w:type="dxa"/>
            <w:vAlign w:val="center"/>
          </w:tcPr>
          <w:p w14:paraId="6FEAD945">
            <w:pPr>
              <w:spacing w:line="360" w:lineRule="auto"/>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现场踏勘</w:t>
            </w:r>
          </w:p>
        </w:tc>
        <w:tc>
          <w:tcPr>
            <w:tcW w:w="2492" w:type="dxa"/>
            <w:vAlign w:val="center"/>
          </w:tcPr>
          <w:p w14:paraId="7FFF47EE">
            <w:pPr>
              <w:spacing w:line="360" w:lineRule="auto"/>
              <w:jc w:val="center"/>
              <w:rPr>
                <w:rFonts w:cs="宋体" w:asciiTheme="minorEastAsia" w:hAnsiTheme="minorEastAsia" w:eastAsiaTheme="minorEastAsia"/>
                <w:bCs/>
                <w:color w:val="000000" w:themeColor="text1"/>
                <w:kern w:val="0"/>
                <w:sz w:val="24"/>
                <w:szCs w:val="24"/>
                <w14:textFill>
                  <w14:solidFill>
                    <w14:schemeClr w14:val="tx1"/>
                  </w14:solidFill>
                </w14:textFill>
              </w:rPr>
            </w:pPr>
            <w:r>
              <w:rPr>
                <w:rFonts w:hint="eastAsia" w:cs="宋体" w:asciiTheme="minorEastAsia" w:hAnsiTheme="minorEastAsia" w:eastAsiaTheme="minorEastAsia"/>
                <w:bCs/>
                <w:color w:val="000000" w:themeColor="text1"/>
                <w:kern w:val="0"/>
                <w:sz w:val="24"/>
                <w:szCs w:val="24"/>
                <w14:textFill>
                  <w14:solidFill>
                    <w14:schemeClr w14:val="tx1"/>
                  </w14:solidFill>
                </w14:textFill>
              </w:rPr>
              <w:t>否</w:t>
            </w:r>
          </w:p>
        </w:tc>
      </w:tr>
      <w:tr w14:paraId="502DEDC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285" w:type="dxa"/>
            <w:vAlign w:val="center"/>
          </w:tcPr>
          <w:p w14:paraId="28D36AAD">
            <w:pPr>
              <w:spacing w:line="360" w:lineRule="auto"/>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联系人</w:t>
            </w:r>
          </w:p>
        </w:tc>
        <w:tc>
          <w:tcPr>
            <w:tcW w:w="3467" w:type="dxa"/>
            <w:vAlign w:val="center"/>
          </w:tcPr>
          <w:p w14:paraId="13F9DEF1">
            <w:pPr>
              <w:spacing w:line="360" w:lineRule="auto"/>
              <w:jc w:val="center"/>
              <w:rPr>
                <w:rFonts w:hint="eastAsia" w:cs="宋体" w:asciiTheme="minorEastAsia" w:hAnsiTheme="minorEastAsia" w:eastAsiaTheme="minorEastAsia"/>
                <w:bCs/>
                <w:kern w:val="0"/>
                <w:sz w:val="24"/>
                <w:szCs w:val="24"/>
                <w:lang w:eastAsia="zh-CN"/>
              </w:rPr>
            </w:pPr>
            <w:r>
              <w:rPr>
                <w:rFonts w:hint="eastAsia" w:cs="宋体" w:asciiTheme="minorEastAsia" w:hAnsiTheme="minorEastAsia" w:eastAsiaTheme="minorEastAsia"/>
                <w:bCs/>
                <w:kern w:val="0"/>
                <w:sz w:val="24"/>
                <w:szCs w:val="24"/>
                <w:lang w:val="en-US" w:eastAsia="zh-CN"/>
              </w:rPr>
              <w:t>余老师</w:t>
            </w:r>
          </w:p>
        </w:tc>
        <w:tc>
          <w:tcPr>
            <w:tcW w:w="1724" w:type="dxa"/>
            <w:vAlign w:val="center"/>
          </w:tcPr>
          <w:p w14:paraId="2E39600D">
            <w:pPr>
              <w:spacing w:line="360" w:lineRule="auto"/>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联系电话</w:t>
            </w:r>
          </w:p>
        </w:tc>
        <w:tc>
          <w:tcPr>
            <w:tcW w:w="2492" w:type="dxa"/>
            <w:vAlign w:val="center"/>
          </w:tcPr>
          <w:p w14:paraId="76550322">
            <w:pPr>
              <w:spacing w:line="360" w:lineRule="auto"/>
              <w:jc w:val="center"/>
              <w:rPr>
                <w:rFonts w:hint="default" w:cs="宋体" w:asciiTheme="minorEastAsia" w:hAnsiTheme="minorEastAsia" w:eastAsiaTheme="minorEastAsia"/>
                <w:bCs/>
                <w:kern w:val="0"/>
                <w:sz w:val="24"/>
                <w:szCs w:val="24"/>
                <w:lang w:val="en-US" w:eastAsia="zh-CN"/>
              </w:rPr>
            </w:pPr>
            <w:r>
              <w:rPr>
                <w:rFonts w:hint="eastAsia" w:cs="宋体" w:asciiTheme="minorEastAsia" w:hAnsiTheme="minorEastAsia" w:eastAsiaTheme="minorEastAsia"/>
                <w:bCs/>
                <w:kern w:val="0"/>
                <w:sz w:val="24"/>
                <w:szCs w:val="24"/>
                <w:lang w:val="en-US" w:eastAsia="zh-CN"/>
              </w:rPr>
              <w:t>0750-3728581</w:t>
            </w:r>
          </w:p>
        </w:tc>
      </w:tr>
    </w:tbl>
    <w:p w14:paraId="087E96BA">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二、</w:t>
      </w:r>
      <w:r>
        <w:rPr>
          <w:rFonts w:hint="eastAsia" w:cs="宋体" w:asciiTheme="minorEastAsia" w:hAnsiTheme="minorEastAsia" w:eastAsiaTheme="minorEastAsia"/>
          <w:bCs/>
          <w:kern w:val="0"/>
          <w:sz w:val="28"/>
          <w:szCs w:val="28"/>
          <w:lang w:val="en-US" w:eastAsia="zh-CN"/>
        </w:rPr>
        <w:t>投标人</w:t>
      </w:r>
      <w:r>
        <w:rPr>
          <w:rFonts w:hint="eastAsia" w:cs="宋体" w:asciiTheme="minorEastAsia" w:hAnsiTheme="minorEastAsia" w:eastAsiaTheme="minorEastAsia"/>
          <w:bCs/>
          <w:kern w:val="0"/>
          <w:sz w:val="28"/>
          <w:szCs w:val="28"/>
        </w:rPr>
        <w:t>资格条件要求</w:t>
      </w:r>
    </w:p>
    <w:p w14:paraId="6ADA577C">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1.投标人应具备《中华人民共和国政府采购法》第二十二条规定的条件。</w:t>
      </w:r>
    </w:p>
    <w:p w14:paraId="3CB6F3D8">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2.营业执照经营范围须与本项目相符。</w:t>
      </w:r>
    </w:p>
    <w:p w14:paraId="27458559">
      <w:pPr>
        <w:spacing w:line="360" w:lineRule="auto"/>
        <w:ind w:firstLine="560" w:firstLineChars="200"/>
        <w:rPr>
          <w:rFonts w:cs="宋体" w:asciiTheme="minorEastAsia" w:hAnsiTheme="minorEastAsia" w:eastAsiaTheme="minorEastAsia"/>
          <w:bCs/>
          <w:color w:val="000000" w:themeColor="text1"/>
          <w:kern w:val="0"/>
          <w:sz w:val="28"/>
          <w:szCs w:val="28"/>
          <w14:textFill>
            <w14:solidFill>
              <w14:schemeClr w14:val="tx1"/>
            </w14:solidFill>
          </w14:textFill>
        </w:rPr>
      </w:pPr>
      <w:r>
        <w:rPr>
          <w:rFonts w:hint="eastAsia" w:cs="宋体" w:asciiTheme="minorEastAsia" w:hAnsiTheme="minorEastAsia" w:eastAsiaTheme="minorEastAsia"/>
          <w:bCs/>
          <w:color w:val="000000" w:themeColor="text1"/>
          <w:kern w:val="0"/>
          <w:sz w:val="28"/>
          <w:szCs w:val="28"/>
          <w14:textFill>
            <w14:solidFill>
              <w14:schemeClr w14:val="tx1"/>
            </w14:solidFill>
          </w14:textFill>
        </w:rPr>
        <w:t>3.投标人为“广东政府采购智慧云平台电子卖场”办公家具（定制化服务）（类别代码A</w:t>
      </w:r>
      <w:r>
        <w:rPr>
          <w:rFonts w:cs="宋体" w:asciiTheme="minorEastAsia" w:hAnsiTheme="minorEastAsia" w:eastAsiaTheme="minorEastAsia"/>
          <w:bCs/>
          <w:color w:val="000000" w:themeColor="text1"/>
          <w:kern w:val="0"/>
          <w:sz w:val="28"/>
          <w:szCs w:val="28"/>
          <w14:textFill>
            <w14:solidFill>
              <w14:schemeClr w14:val="tx1"/>
            </w14:solidFill>
          </w14:textFill>
        </w:rPr>
        <w:t>0</w:t>
      </w:r>
      <w:r>
        <w:rPr>
          <w:rFonts w:hint="eastAsia" w:cs="宋体" w:asciiTheme="minorEastAsia" w:hAnsiTheme="minorEastAsia" w:eastAsiaTheme="minorEastAsia"/>
          <w:bCs/>
          <w:color w:val="000000" w:themeColor="text1"/>
          <w:kern w:val="0"/>
          <w:sz w:val="28"/>
          <w:szCs w:val="28"/>
          <w14:textFill>
            <w14:solidFill>
              <w14:schemeClr w14:val="tx1"/>
            </w14:solidFill>
          </w14:textFill>
        </w:rPr>
        <w:t>5</w:t>
      </w:r>
      <w:r>
        <w:rPr>
          <w:rFonts w:cs="宋体" w:asciiTheme="minorEastAsia" w:hAnsiTheme="minorEastAsia" w:eastAsiaTheme="minorEastAsia"/>
          <w:bCs/>
          <w:color w:val="000000" w:themeColor="text1"/>
          <w:kern w:val="0"/>
          <w:sz w:val="28"/>
          <w:szCs w:val="28"/>
          <w14:textFill>
            <w14:solidFill>
              <w14:schemeClr w14:val="tx1"/>
            </w14:solidFill>
          </w14:textFill>
        </w:rPr>
        <w:t>0</w:t>
      </w:r>
      <w:r>
        <w:rPr>
          <w:rFonts w:hint="eastAsia" w:cs="宋体" w:asciiTheme="minorEastAsia" w:hAnsiTheme="minorEastAsia" w:eastAsiaTheme="minorEastAsia"/>
          <w:bCs/>
          <w:color w:val="000000" w:themeColor="text1"/>
          <w:kern w:val="0"/>
          <w:sz w:val="28"/>
          <w:szCs w:val="28"/>
          <w:lang w:val="en-US" w:eastAsia="zh-CN"/>
          <w14:textFill>
            <w14:solidFill>
              <w14:schemeClr w14:val="tx1"/>
            </w14:solidFill>
          </w14:textFill>
        </w:rPr>
        <w:t>1</w:t>
      </w:r>
      <w:r>
        <w:rPr>
          <w:rFonts w:cs="宋体" w:asciiTheme="minorEastAsia" w:hAnsiTheme="minorEastAsia" w:eastAsiaTheme="minorEastAsia"/>
          <w:bCs/>
          <w:color w:val="000000" w:themeColor="text1"/>
          <w:kern w:val="0"/>
          <w:sz w:val="28"/>
          <w:szCs w:val="28"/>
          <w14:textFill>
            <w14:solidFill>
              <w14:schemeClr w14:val="tx1"/>
            </w14:solidFill>
          </w14:textFill>
        </w:rPr>
        <w:t>0000</w:t>
      </w:r>
      <w:r>
        <w:rPr>
          <w:rFonts w:hint="eastAsia" w:cs="宋体" w:asciiTheme="minorEastAsia" w:hAnsiTheme="minorEastAsia" w:eastAsiaTheme="minorEastAsia"/>
          <w:bCs/>
          <w:color w:val="000000" w:themeColor="text1"/>
          <w:kern w:val="0"/>
          <w:sz w:val="28"/>
          <w:szCs w:val="28"/>
          <w14:textFill>
            <w14:solidFill>
              <w14:schemeClr w14:val="tx1"/>
            </w14:solidFill>
          </w14:textFill>
        </w:rPr>
        <w:t>）的定点供应商，且其服务区域明确涵盖江门市。</w:t>
      </w:r>
    </w:p>
    <w:p w14:paraId="4AE39FDB">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三、采购清单及规格数量</w:t>
      </w:r>
    </w:p>
    <w:tbl>
      <w:tblPr>
        <w:tblStyle w:val="13"/>
        <w:tblW w:w="10461" w:type="dxa"/>
        <w:tblInd w:w="93" w:type="dxa"/>
        <w:tblLayout w:type="fixed"/>
        <w:tblCellMar>
          <w:top w:w="0" w:type="dxa"/>
          <w:left w:w="108" w:type="dxa"/>
          <w:bottom w:w="0" w:type="dxa"/>
          <w:right w:w="108" w:type="dxa"/>
        </w:tblCellMar>
      </w:tblPr>
      <w:tblGrid>
        <w:gridCol w:w="540"/>
        <w:gridCol w:w="1176"/>
        <w:gridCol w:w="5050"/>
        <w:gridCol w:w="783"/>
        <w:gridCol w:w="750"/>
        <w:gridCol w:w="2162"/>
      </w:tblGrid>
      <w:tr w14:paraId="1C21B1D4">
        <w:tblPrEx>
          <w:tblCellMar>
            <w:top w:w="0" w:type="dxa"/>
            <w:left w:w="108" w:type="dxa"/>
            <w:bottom w:w="0" w:type="dxa"/>
            <w:right w:w="108" w:type="dxa"/>
          </w:tblCellMar>
        </w:tblPrEx>
        <w:trPr>
          <w:trHeight w:val="50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90CF3">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序号</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3D09B">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需求内容</w:t>
            </w:r>
          </w:p>
        </w:tc>
        <w:tc>
          <w:tcPr>
            <w:tcW w:w="5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37FCA">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需求说明</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BABC6">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单位</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C5A9F">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数量</w:t>
            </w:r>
          </w:p>
        </w:tc>
        <w:tc>
          <w:tcPr>
            <w:tcW w:w="21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9639E">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图样</w:t>
            </w:r>
          </w:p>
        </w:tc>
      </w:tr>
      <w:tr w14:paraId="2C47271E">
        <w:tblPrEx>
          <w:tblCellMar>
            <w:top w:w="0" w:type="dxa"/>
            <w:left w:w="108" w:type="dxa"/>
            <w:bottom w:w="0" w:type="dxa"/>
            <w:right w:w="108" w:type="dxa"/>
          </w:tblCellMar>
        </w:tblPrEx>
        <w:trPr>
          <w:trHeight w:val="1493"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CB474">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1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54F948">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 xml:space="preserve">办公桌 </w:t>
            </w:r>
          </w:p>
        </w:tc>
        <w:tc>
          <w:tcPr>
            <w:tcW w:w="5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69DFE">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尺寸：1200*600*750                                                                                        1、台面基材：</w:t>
            </w:r>
            <w:r>
              <w:rPr>
                <w:rFonts w:ascii="宋体" w:hAnsi="宋体" w:eastAsia="宋体" w:cs="宋体"/>
                <w:sz w:val="24"/>
                <w:szCs w:val="24"/>
              </w:rPr>
              <w:t>台面基材：采用 30mm 厚北欧松木实木板，木材含水率 8</w:t>
            </w:r>
            <w:r>
              <w:rPr>
                <w:rFonts w:ascii="宋体" w:hAnsi="宋体" w:eastAsia="宋体" w:cs="宋体"/>
                <w:sz w:val="24"/>
                <w:szCs w:val="24"/>
              </w:rPr>
              <w:noBreakHyphen/>
            </w:r>
            <w:r>
              <w:rPr>
                <w:rFonts w:ascii="宋体" w:hAnsi="宋体" w:eastAsia="宋体" w:cs="宋体"/>
                <w:sz w:val="24"/>
                <w:szCs w:val="24"/>
              </w:rPr>
              <w:t>13%，符合木材相关国家标准，无开裂、变形、虫蛀</w:t>
            </w:r>
            <w:r>
              <w:rPr>
                <w:rFonts w:hint="eastAsia" w:ascii="宋体" w:hAnsi="宋体" w:eastAsia="宋体" w:cs="宋体"/>
                <w:i w:val="0"/>
                <w:iCs w:val="0"/>
                <w:color w:val="000000"/>
                <w:kern w:val="0"/>
                <w:sz w:val="24"/>
                <w:szCs w:val="24"/>
                <w:u w:val="none"/>
                <w:lang w:val="en-US" w:eastAsia="zh-CN" w:bidi="ar"/>
              </w:rPr>
              <w:t>；</w:t>
            </w:r>
          </w:p>
          <w:p w14:paraId="1BD60570">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2、台面油漆：环保水性清漆，</w:t>
            </w:r>
            <w:r>
              <w:rPr>
                <w:rFonts w:ascii="宋体" w:hAnsi="宋体" w:eastAsia="宋体" w:cs="宋体"/>
                <w:sz w:val="24"/>
                <w:szCs w:val="24"/>
              </w:rPr>
              <w:t>油漆性能符合 GB 18581</w:t>
            </w:r>
            <w:r>
              <w:rPr>
                <w:rFonts w:ascii="宋体" w:hAnsi="宋体" w:eastAsia="宋体" w:cs="宋体"/>
                <w:sz w:val="24"/>
                <w:szCs w:val="24"/>
              </w:rPr>
              <w:noBreakHyphen/>
            </w:r>
            <w:r>
              <w:rPr>
                <w:rFonts w:ascii="宋体" w:hAnsi="宋体" w:eastAsia="宋体" w:cs="宋体"/>
                <w:sz w:val="24"/>
                <w:szCs w:val="24"/>
              </w:rPr>
              <w:t>2020 木器涂料中有害物质限量，VOC、甲醛、重金属含量达标</w:t>
            </w:r>
            <w:r>
              <w:rPr>
                <w:rFonts w:hint="eastAsia" w:ascii="宋体" w:hAnsi="宋体" w:eastAsia="宋体" w:cs="宋体"/>
                <w:i w:val="0"/>
                <w:iCs w:val="0"/>
                <w:color w:val="000000"/>
                <w:kern w:val="0"/>
                <w:sz w:val="24"/>
                <w:szCs w:val="24"/>
                <w:u w:val="none"/>
                <w:lang w:val="en-US" w:eastAsia="zh-CN" w:bidi="ar"/>
              </w:rPr>
              <w:t>；                                                                                          3、台脚：</w:t>
            </w:r>
            <w:r>
              <w:rPr>
                <w:rFonts w:ascii="宋体" w:hAnsi="宋体" w:eastAsia="宋体" w:cs="宋体"/>
                <w:sz w:val="24"/>
                <w:szCs w:val="24"/>
              </w:rPr>
              <w:t>50*50 碳素钢管，壁厚≥1.2mm，经脱脂、酸洗、磷化、防锈处理后烤漆工艺，喷涂均匀，无掉漆、锈蚀</w:t>
            </w:r>
            <w:r>
              <w:rPr>
                <w:rFonts w:hint="eastAsia" w:ascii="宋体" w:hAnsi="宋体" w:eastAsia="宋体" w:cs="宋体"/>
                <w:i w:val="0"/>
                <w:iCs w:val="0"/>
                <w:color w:val="000000"/>
                <w:kern w:val="0"/>
                <w:sz w:val="24"/>
                <w:szCs w:val="24"/>
                <w:u w:val="none"/>
                <w:lang w:val="en-US" w:eastAsia="zh-CN" w:bidi="ar"/>
              </w:rPr>
              <w:t>；</w:t>
            </w:r>
          </w:p>
          <w:p w14:paraId="43EA6A44">
            <w:pPr>
              <w:keepNext w:val="0"/>
              <w:keepLines w:val="0"/>
              <w:widowControl/>
              <w:suppressLineNumbers w:val="0"/>
              <w:jc w:val="left"/>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4、</w:t>
            </w:r>
            <w:r>
              <w:rPr>
                <w:rFonts w:ascii="宋体" w:hAnsi="宋体" w:eastAsia="宋体" w:cs="宋体"/>
                <w:sz w:val="24"/>
                <w:szCs w:val="24"/>
              </w:rPr>
              <w:t>成品要求：边角倒圆处理，无毛刺，结构牢固，焊接部位平整无毛刺，整体稳固，符合木家具、金属家具相关国标要求。</w:t>
            </w:r>
            <w:r>
              <w:rPr>
                <w:rFonts w:hint="eastAsia" w:ascii="宋体" w:hAnsi="宋体" w:eastAsia="宋体" w:cs="宋体"/>
                <w:i w:val="0"/>
                <w:iCs w:val="0"/>
                <w:color w:val="000000"/>
                <w:kern w:val="0"/>
                <w:sz w:val="24"/>
                <w:szCs w:val="24"/>
                <w:u w:val="none"/>
                <w:lang w:val="en-US" w:eastAsia="zh-CN" w:bidi="ar"/>
              </w:rPr>
              <w:t xml:space="preserve">                                                                                                                                                                                                          </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1BD52">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张</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CDC4D">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14</w:t>
            </w:r>
          </w:p>
        </w:tc>
        <w:tc>
          <w:tcPr>
            <w:tcW w:w="2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A1DC7">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drawing>
                <wp:inline distT="0" distB="0" distL="114300" distR="114300">
                  <wp:extent cx="1266190" cy="1088390"/>
                  <wp:effectExtent l="0" t="0" r="10160" b="16510"/>
                  <wp:docPr id="8"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descr="IMG_256"/>
                          <pic:cNvPicPr>
                            <a:picLocks noChangeAspect="1"/>
                          </pic:cNvPicPr>
                        </pic:nvPicPr>
                        <pic:blipFill>
                          <a:blip r:embed="rId4"/>
                          <a:stretch>
                            <a:fillRect/>
                          </a:stretch>
                        </pic:blipFill>
                        <pic:spPr>
                          <a:xfrm>
                            <a:off x="0" y="0"/>
                            <a:ext cx="1266190" cy="1088390"/>
                          </a:xfrm>
                          <a:prstGeom prst="rect">
                            <a:avLst/>
                          </a:prstGeom>
                          <a:noFill/>
                          <a:ln w="9525">
                            <a:noFill/>
                          </a:ln>
                        </pic:spPr>
                      </pic:pic>
                    </a:graphicData>
                  </a:graphic>
                </wp:inline>
              </w:drawing>
            </w:r>
          </w:p>
        </w:tc>
      </w:tr>
      <w:tr w14:paraId="43F7D801">
        <w:tblPrEx>
          <w:tblCellMar>
            <w:top w:w="0" w:type="dxa"/>
            <w:left w:w="108" w:type="dxa"/>
            <w:bottom w:w="0" w:type="dxa"/>
            <w:right w:w="108" w:type="dxa"/>
          </w:tblCellMar>
        </w:tblPrEx>
        <w:trPr>
          <w:trHeight w:val="16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31B9B">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11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0BE85F">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办公椅</w:t>
            </w:r>
          </w:p>
        </w:tc>
        <w:tc>
          <w:tcPr>
            <w:tcW w:w="5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37FE3">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尺寸：585*580*960                                                                                           1、椅背：灰色背框、高弹腰托，框架结实牢固；2、椅座：30密度高弹力海绵，符合 GB/T 10802</w:t>
            </w:r>
            <w:r>
              <w:rPr>
                <w:rFonts w:hint="eastAsia" w:ascii="宋体" w:hAnsi="宋体" w:eastAsia="宋体" w:cs="宋体"/>
                <w:i w:val="0"/>
                <w:iCs w:val="0"/>
                <w:color w:val="000000"/>
                <w:kern w:val="0"/>
                <w:sz w:val="24"/>
                <w:szCs w:val="24"/>
                <w:u w:val="none"/>
                <w:lang w:val="en-US" w:eastAsia="zh-CN" w:bidi="ar"/>
              </w:rPr>
              <w:noBreakHyphen/>
            </w:r>
            <w:r>
              <w:rPr>
                <w:rFonts w:hint="eastAsia" w:ascii="宋体" w:hAnsi="宋体" w:eastAsia="宋体" w:cs="宋体"/>
                <w:i w:val="0"/>
                <w:iCs w:val="0"/>
                <w:color w:val="000000"/>
                <w:kern w:val="0"/>
                <w:sz w:val="24"/>
                <w:szCs w:val="24"/>
                <w:u w:val="none"/>
                <w:lang w:val="en-US" w:eastAsia="zh-CN" w:bidi="ar"/>
              </w:rPr>
              <w:t>2006 通用软质聚醚型聚氨酯泡沫塑料，回弹性能达标，压缩永久变形符合标准；面料耐磨，色牢度达标；；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3、扶手：灰色圈扶手，连接牢固无松动；</w:t>
            </w:r>
          </w:p>
          <w:p w14:paraId="1F98221C">
            <w:pPr>
              <w:keepNext w:val="0"/>
              <w:keepLines w:val="0"/>
              <w:widowControl/>
              <w:numPr>
                <w:ilvl w:val="0"/>
                <w:numId w:val="0"/>
              </w:numPr>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4、椅架：2.0mm加厚金属管电镀处理，镀层均匀，无起皮、生锈；整体结构承重可靠；</w:t>
            </w:r>
          </w:p>
          <w:p w14:paraId="20007FFB">
            <w:pPr>
              <w:keepNext w:val="0"/>
              <w:keepLines w:val="0"/>
              <w:widowControl/>
              <w:numPr>
                <w:ilvl w:val="0"/>
                <w:numId w:val="0"/>
              </w:numPr>
              <w:suppressLineNumbers w:val="0"/>
              <w:jc w:val="left"/>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5、配套气压棒、底盘符合座椅相关行业标准；五金连接件齐全，滑动、调节功能顺畅；成品符合 QB/T2280</w:t>
            </w:r>
            <w:r>
              <w:rPr>
                <w:rFonts w:hint="eastAsia" w:ascii="宋体" w:hAnsi="宋体" w:eastAsia="宋体" w:cs="宋体"/>
                <w:i w:val="0"/>
                <w:iCs w:val="0"/>
                <w:color w:val="000000"/>
                <w:kern w:val="0"/>
                <w:sz w:val="24"/>
                <w:szCs w:val="24"/>
                <w:u w:val="none"/>
                <w:lang w:val="en-US" w:eastAsia="zh-CN" w:bidi="ar"/>
              </w:rPr>
              <w:noBreakHyphen/>
            </w:r>
            <w:r>
              <w:rPr>
                <w:rFonts w:hint="eastAsia" w:ascii="宋体" w:hAnsi="宋体" w:eastAsia="宋体" w:cs="宋体"/>
                <w:i w:val="0"/>
                <w:iCs w:val="0"/>
                <w:color w:val="000000"/>
                <w:kern w:val="0"/>
                <w:sz w:val="24"/>
                <w:szCs w:val="24"/>
                <w:u w:val="none"/>
                <w:lang w:val="en-US" w:eastAsia="zh-CN" w:bidi="ar"/>
              </w:rPr>
              <w:t>2016《办公家具 办公椅》要求。</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F7D49">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张</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1D21E">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38</w:t>
            </w:r>
          </w:p>
        </w:tc>
        <w:tc>
          <w:tcPr>
            <w:tcW w:w="2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6C0FB">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drawing>
                <wp:inline distT="0" distB="0" distL="114300" distR="114300">
                  <wp:extent cx="1076325" cy="1028700"/>
                  <wp:effectExtent l="0" t="0" r="9525" b="0"/>
                  <wp:docPr id="7"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descr="IMG_257"/>
                          <pic:cNvPicPr>
                            <a:picLocks noChangeAspect="1"/>
                          </pic:cNvPicPr>
                        </pic:nvPicPr>
                        <pic:blipFill>
                          <a:blip r:embed="rId5"/>
                          <a:stretch>
                            <a:fillRect/>
                          </a:stretch>
                        </pic:blipFill>
                        <pic:spPr>
                          <a:xfrm>
                            <a:off x="0" y="0"/>
                            <a:ext cx="1076325" cy="1028700"/>
                          </a:xfrm>
                          <a:prstGeom prst="rect">
                            <a:avLst/>
                          </a:prstGeom>
                          <a:noFill/>
                          <a:ln w="9525">
                            <a:noFill/>
                          </a:ln>
                        </pic:spPr>
                      </pic:pic>
                    </a:graphicData>
                  </a:graphic>
                </wp:inline>
              </w:drawing>
            </w:r>
          </w:p>
        </w:tc>
      </w:tr>
      <w:tr w14:paraId="3BE83184">
        <w:tblPrEx>
          <w:tblCellMar>
            <w:top w:w="0" w:type="dxa"/>
            <w:left w:w="108" w:type="dxa"/>
            <w:bottom w:w="0" w:type="dxa"/>
            <w:right w:w="108" w:type="dxa"/>
          </w:tblCellMar>
        </w:tblPrEx>
        <w:trPr>
          <w:trHeight w:val="1380" w:hRule="atLeast"/>
        </w:trPr>
        <w:tc>
          <w:tcPr>
            <w:tcW w:w="54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85134DF">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1176" w:type="dxa"/>
            <w:tcBorders>
              <w:top w:val="single" w:color="000000" w:sz="4" w:space="0"/>
              <w:left w:val="single" w:color="000000" w:sz="4" w:space="0"/>
              <w:bottom w:val="single" w:color="auto" w:sz="4" w:space="0"/>
              <w:right w:val="single" w:color="000000" w:sz="4" w:space="0"/>
            </w:tcBorders>
            <w:shd w:val="clear" w:color="auto" w:fill="FFFFFF"/>
            <w:vAlign w:val="center"/>
          </w:tcPr>
          <w:p w14:paraId="6FDA7A75">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接待桌子</w:t>
            </w:r>
          </w:p>
        </w:tc>
        <w:tc>
          <w:tcPr>
            <w:tcW w:w="5050" w:type="dxa"/>
            <w:tcBorders>
              <w:top w:val="single" w:color="000000" w:sz="4" w:space="0"/>
              <w:left w:val="single" w:color="000000" w:sz="4" w:space="0"/>
              <w:bottom w:val="single" w:color="auto" w:sz="4" w:space="0"/>
              <w:right w:val="single" w:color="000000" w:sz="4" w:space="0"/>
            </w:tcBorders>
            <w:shd w:val="clear" w:color="auto" w:fill="auto"/>
            <w:vAlign w:val="center"/>
          </w:tcPr>
          <w:p w14:paraId="46FE4126">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尺寸：桌：⌀800*750                                                                                          1、台面12mm岩板材质，12mm 岩板材质，抗弯、耐污、耐刮，放射性指标符合 GB 6566</w:t>
            </w:r>
            <w:r>
              <w:rPr>
                <w:rFonts w:hint="eastAsia" w:ascii="宋体" w:hAnsi="宋体" w:eastAsia="宋体" w:cs="宋体"/>
                <w:i w:val="0"/>
                <w:iCs w:val="0"/>
                <w:color w:val="000000"/>
                <w:kern w:val="0"/>
                <w:sz w:val="24"/>
                <w:szCs w:val="24"/>
                <w:u w:val="none"/>
                <w:lang w:val="en-US" w:eastAsia="zh-CN" w:bidi="ar"/>
              </w:rPr>
              <w:noBreakHyphen/>
            </w:r>
            <w:r>
              <w:rPr>
                <w:rFonts w:hint="eastAsia" w:ascii="宋体" w:hAnsi="宋体" w:eastAsia="宋体" w:cs="宋体"/>
                <w:i w:val="0"/>
                <w:iCs w:val="0"/>
                <w:color w:val="000000"/>
                <w:kern w:val="0"/>
                <w:sz w:val="24"/>
                <w:szCs w:val="24"/>
                <w:u w:val="none"/>
                <w:lang w:val="en-US" w:eastAsia="zh-CN" w:bidi="ar"/>
              </w:rPr>
              <w:t>2010 建筑材料放射性核素限量；边缘打磨平整无崩边；</w:t>
            </w:r>
          </w:p>
          <w:p w14:paraId="49DB507A">
            <w:pPr>
              <w:keepNext w:val="0"/>
              <w:keepLines w:val="0"/>
              <w:widowControl/>
              <w:numPr>
                <w:ilvl w:val="0"/>
                <w:numId w:val="0"/>
              </w:numPr>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2、A3 碳素钢焗漆，钢材壁厚≥1.2mm，经除锈、磷化、焗漆处理，漆面均匀，无脱落、锈蚀；</w:t>
            </w:r>
          </w:p>
          <w:p w14:paraId="5F9728CA">
            <w:pPr>
              <w:keepNext w:val="0"/>
              <w:keepLines w:val="0"/>
              <w:widowControl/>
              <w:numPr>
                <w:ilvl w:val="0"/>
                <w:numId w:val="0"/>
              </w:numPr>
              <w:suppressLineNumbers w:val="0"/>
              <w:jc w:val="left"/>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3、整体连接牢固，底座配重合理，放置平稳无晃动。</w:t>
            </w:r>
          </w:p>
        </w:tc>
        <w:tc>
          <w:tcPr>
            <w:tcW w:w="78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B69385F">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张</w:t>
            </w:r>
          </w:p>
        </w:tc>
        <w:tc>
          <w:tcPr>
            <w:tcW w:w="75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8805C91">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13</w:t>
            </w:r>
          </w:p>
        </w:tc>
        <w:tc>
          <w:tcPr>
            <w:tcW w:w="2162" w:type="dxa"/>
            <w:tcBorders>
              <w:top w:val="single" w:color="000000" w:sz="4" w:space="0"/>
              <w:left w:val="single" w:color="000000" w:sz="4" w:space="0"/>
              <w:bottom w:val="single" w:color="auto" w:sz="4" w:space="0"/>
              <w:right w:val="single" w:color="000000" w:sz="4" w:space="0"/>
            </w:tcBorders>
            <w:shd w:val="clear" w:color="auto" w:fill="auto"/>
            <w:vAlign w:val="center"/>
          </w:tcPr>
          <w:p w14:paraId="06EC183E">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drawing>
                <wp:inline distT="0" distB="0" distL="114300" distR="114300">
                  <wp:extent cx="1086485" cy="970915"/>
                  <wp:effectExtent l="0" t="0" r="18415" b="635"/>
                  <wp:docPr id="12"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descr="IMG_258"/>
                          <pic:cNvPicPr>
                            <a:picLocks noChangeAspect="1"/>
                          </pic:cNvPicPr>
                        </pic:nvPicPr>
                        <pic:blipFill>
                          <a:blip r:embed="rId6"/>
                          <a:stretch>
                            <a:fillRect/>
                          </a:stretch>
                        </pic:blipFill>
                        <pic:spPr>
                          <a:xfrm>
                            <a:off x="0" y="0"/>
                            <a:ext cx="1086485" cy="970915"/>
                          </a:xfrm>
                          <a:prstGeom prst="rect">
                            <a:avLst/>
                          </a:prstGeom>
                          <a:noFill/>
                          <a:ln w="9525">
                            <a:noFill/>
                          </a:ln>
                        </pic:spPr>
                      </pic:pic>
                    </a:graphicData>
                  </a:graphic>
                </wp:inline>
              </w:drawing>
            </w:r>
          </w:p>
        </w:tc>
      </w:tr>
      <w:tr w14:paraId="6949B0BF">
        <w:tblPrEx>
          <w:tblCellMar>
            <w:top w:w="0" w:type="dxa"/>
            <w:left w:w="108" w:type="dxa"/>
            <w:bottom w:w="0" w:type="dxa"/>
            <w:right w:w="108" w:type="dxa"/>
          </w:tblCellMar>
        </w:tblPrEx>
        <w:trPr>
          <w:trHeight w:val="1220" w:hRule="atLeast"/>
        </w:trPr>
        <w:tc>
          <w:tcPr>
            <w:tcW w:w="5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627E52">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4</w:t>
            </w:r>
          </w:p>
        </w:tc>
        <w:tc>
          <w:tcPr>
            <w:tcW w:w="1176" w:type="dxa"/>
            <w:tcBorders>
              <w:top w:val="single" w:color="auto" w:sz="4" w:space="0"/>
              <w:left w:val="single" w:color="auto" w:sz="4" w:space="0"/>
              <w:bottom w:val="single" w:color="auto" w:sz="4" w:space="0"/>
              <w:right w:val="single" w:color="auto" w:sz="4" w:space="0"/>
            </w:tcBorders>
            <w:shd w:val="clear" w:color="auto" w:fill="FFFFFF"/>
            <w:vAlign w:val="center"/>
          </w:tcPr>
          <w:p w14:paraId="68A77169">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接待椅</w:t>
            </w:r>
          </w:p>
        </w:tc>
        <w:tc>
          <w:tcPr>
            <w:tcW w:w="5050" w:type="dxa"/>
            <w:tcBorders>
              <w:top w:val="single" w:color="auto" w:sz="4" w:space="0"/>
              <w:left w:val="single" w:color="auto" w:sz="4" w:space="0"/>
              <w:bottom w:val="single" w:color="auto" w:sz="4" w:space="0"/>
              <w:right w:val="single" w:color="auto" w:sz="4" w:space="0"/>
            </w:tcBorders>
            <w:shd w:val="clear" w:color="auto" w:fill="auto"/>
            <w:vAlign w:val="center"/>
          </w:tcPr>
          <w:p w14:paraId="419EBA1B">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尺寸：椅：390*420*730                                                                                         1、材质：采用L.G.F增强PP材质，一体成型，无毒无味；</w:t>
            </w:r>
          </w:p>
          <w:p w14:paraId="0D095944">
            <w:pPr>
              <w:keepNext w:val="0"/>
              <w:keepLines w:val="0"/>
              <w:widowControl/>
              <w:numPr>
                <w:ilvl w:val="0"/>
                <w:numId w:val="0"/>
              </w:numPr>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2、原材料符合 GB 28481</w:t>
            </w:r>
            <w:r>
              <w:rPr>
                <w:rFonts w:hint="eastAsia" w:ascii="宋体" w:hAnsi="宋体" w:eastAsia="宋体" w:cs="宋体"/>
                <w:i w:val="0"/>
                <w:iCs w:val="0"/>
                <w:color w:val="000000"/>
                <w:kern w:val="0"/>
                <w:sz w:val="24"/>
                <w:szCs w:val="24"/>
                <w:u w:val="none"/>
                <w:lang w:val="en-US" w:eastAsia="zh-CN" w:bidi="ar"/>
              </w:rPr>
              <w:noBreakHyphen/>
            </w:r>
            <w:r>
              <w:rPr>
                <w:rFonts w:hint="eastAsia" w:ascii="宋体" w:hAnsi="宋体" w:eastAsia="宋体" w:cs="宋体"/>
                <w:i w:val="0"/>
                <w:iCs w:val="0"/>
                <w:color w:val="000000"/>
                <w:kern w:val="0"/>
                <w:sz w:val="24"/>
                <w:szCs w:val="24"/>
                <w:u w:val="none"/>
                <w:lang w:val="en-US" w:eastAsia="zh-CN" w:bidi="ar"/>
              </w:rPr>
              <w:t>2012 塑料家具中有害物质限量；表面光滑无毛刺，边角倒圆；结构力学强度满足正常坐靠使用，承重达标，不易断裂；</w:t>
            </w:r>
          </w:p>
          <w:p w14:paraId="5F39D9D7">
            <w:pPr>
              <w:keepNext w:val="0"/>
              <w:keepLines w:val="0"/>
              <w:widowControl/>
              <w:numPr>
                <w:ilvl w:val="0"/>
                <w:numId w:val="0"/>
              </w:numPr>
              <w:suppressLineNumbers w:val="0"/>
              <w:jc w:val="left"/>
              <w:textAlignment w:val="center"/>
              <w:rPr>
                <w:rFonts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3、颜色均匀，无明显色差、缩水、气泡、裂纹缺陷。</w:t>
            </w:r>
          </w:p>
        </w:tc>
        <w:tc>
          <w:tcPr>
            <w:tcW w:w="7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2AEA66">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把</w:t>
            </w:r>
          </w:p>
        </w:tc>
        <w:tc>
          <w:tcPr>
            <w:tcW w:w="7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AD0AC9">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39</w:t>
            </w:r>
          </w:p>
        </w:tc>
        <w:tc>
          <w:tcPr>
            <w:tcW w:w="2162" w:type="dxa"/>
            <w:tcBorders>
              <w:top w:val="single" w:color="auto" w:sz="4" w:space="0"/>
              <w:left w:val="single" w:color="auto" w:sz="4" w:space="0"/>
              <w:bottom w:val="single" w:color="auto" w:sz="4" w:space="0"/>
              <w:right w:val="single" w:color="auto" w:sz="4" w:space="0"/>
            </w:tcBorders>
            <w:shd w:val="clear" w:color="auto" w:fill="auto"/>
            <w:vAlign w:val="center"/>
          </w:tcPr>
          <w:p w14:paraId="13AF408E">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drawing>
                <wp:inline distT="0" distB="0" distL="114300" distR="114300">
                  <wp:extent cx="972820" cy="972820"/>
                  <wp:effectExtent l="0" t="0" r="17780" b="17780"/>
                  <wp:docPr id="9"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descr="IMG_259"/>
                          <pic:cNvPicPr>
                            <a:picLocks noChangeAspect="1"/>
                          </pic:cNvPicPr>
                        </pic:nvPicPr>
                        <pic:blipFill>
                          <a:blip r:embed="rId7"/>
                          <a:stretch>
                            <a:fillRect/>
                          </a:stretch>
                        </pic:blipFill>
                        <pic:spPr>
                          <a:xfrm>
                            <a:off x="0" y="0"/>
                            <a:ext cx="972820" cy="972820"/>
                          </a:xfrm>
                          <a:prstGeom prst="rect">
                            <a:avLst/>
                          </a:prstGeom>
                          <a:noFill/>
                          <a:ln w="9525">
                            <a:noFill/>
                          </a:ln>
                        </pic:spPr>
                      </pic:pic>
                    </a:graphicData>
                  </a:graphic>
                </wp:inline>
              </w:drawing>
            </w:r>
          </w:p>
        </w:tc>
      </w:tr>
      <w:tr w14:paraId="79939252">
        <w:tblPrEx>
          <w:tblCellMar>
            <w:top w:w="0" w:type="dxa"/>
            <w:left w:w="108" w:type="dxa"/>
            <w:bottom w:w="0" w:type="dxa"/>
            <w:right w:w="108" w:type="dxa"/>
          </w:tblCellMar>
        </w:tblPrEx>
        <w:trPr>
          <w:trHeight w:val="2520" w:hRule="atLeast"/>
        </w:trPr>
        <w:tc>
          <w:tcPr>
            <w:tcW w:w="54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3D94D500">
            <w:pPr>
              <w:widowControl/>
              <w:jc w:val="center"/>
              <w:textAlignment w:val="center"/>
              <w:rPr>
                <w:rFonts w:ascii="宋体" w:hAnsi="宋体" w:eastAsia="宋体" w:cs="宋体"/>
                <w:color w:val="000000"/>
                <w:sz w:val="24"/>
                <w:szCs w:val="24"/>
              </w:rPr>
            </w:pPr>
            <w:bookmarkStart w:id="1" w:name="_GoBack"/>
            <w:bookmarkEnd w:id="1"/>
            <w:r>
              <w:rPr>
                <w:rFonts w:hint="eastAsia" w:ascii="宋体" w:hAnsi="宋体" w:eastAsia="宋体" w:cs="宋体"/>
                <w:color w:val="000000"/>
                <w:kern w:val="0"/>
                <w:sz w:val="24"/>
                <w:szCs w:val="24"/>
                <w:lang w:bidi="ar"/>
              </w:rPr>
              <w:t>5</w:t>
            </w:r>
          </w:p>
        </w:tc>
        <w:tc>
          <w:tcPr>
            <w:tcW w:w="1176" w:type="dxa"/>
            <w:tcBorders>
              <w:top w:val="single" w:color="auto" w:sz="4" w:space="0"/>
              <w:left w:val="single" w:color="000000" w:sz="4" w:space="0"/>
              <w:bottom w:val="single" w:color="000000" w:sz="4" w:space="0"/>
              <w:right w:val="single" w:color="000000" w:sz="4" w:space="0"/>
            </w:tcBorders>
            <w:shd w:val="clear" w:color="auto" w:fill="FFFFFF"/>
            <w:vAlign w:val="center"/>
          </w:tcPr>
          <w:p w14:paraId="7E9C8C69">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资料柜</w:t>
            </w:r>
          </w:p>
        </w:tc>
        <w:tc>
          <w:tcPr>
            <w:tcW w:w="5050" w:type="dxa"/>
            <w:tcBorders>
              <w:top w:val="single" w:color="auto" w:sz="4" w:space="0"/>
              <w:left w:val="single" w:color="000000" w:sz="4" w:space="0"/>
              <w:bottom w:val="single" w:color="000000" w:sz="4" w:space="0"/>
              <w:right w:val="single" w:color="000000" w:sz="4" w:space="0"/>
            </w:tcBorders>
            <w:shd w:val="clear" w:color="auto" w:fill="auto"/>
            <w:vAlign w:val="center"/>
          </w:tcPr>
          <w:p w14:paraId="1BD85A94">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4"/>
                <w:szCs w:val="24"/>
                <w:u w:val="none"/>
                <w:lang w:val="en-US" w:eastAsia="zh-CN" w:bidi="ar"/>
              </w:rPr>
              <w:t>尺寸：1600*400*1200                                                                                        1、基材：</w:t>
            </w:r>
            <w:r>
              <w:rPr>
                <w:rFonts w:ascii="宋体" w:hAnsi="宋体" w:eastAsia="宋体" w:cs="宋体"/>
                <w:sz w:val="24"/>
                <w:szCs w:val="24"/>
              </w:rPr>
              <w:t>采用 E0 级实木颗粒板，板材密度≥630kg/m³；甲醛释放量满足 GB18580</w:t>
            </w:r>
            <w:r>
              <w:rPr>
                <w:rFonts w:ascii="宋体" w:hAnsi="宋体" w:eastAsia="宋体" w:cs="宋体"/>
                <w:sz w:val="24"/>
                <w:szCs w:val="24"/>
              </w:rPr>
              <w:noBreakHyphen/>
            </w:r>
            <w:r>
              <w:rPr>
                <w:rFonts w:ascii="宋体" w:hAnsi="宋体" w:eastAsia="宋体" w:cs="宋体"/>
                <w:sz w:val="24"/>
                <w:szCs w:val="24"/>
              </w:rPr>
              <w:t>2017《室内装饰装修材料人造板及其制品中甲醛释放限量》；</w:t>
            </w:r>
          </w:p>
          <w:p w14:paraId="7B8B627A">
            <w:pPr>
              <w:keepNext w:val="0"/>
              <w:keepLines w:val="0"/>
              <w:widowControl/>
              <w:numPr>
                <w:ilvl w:val="0"/>
                <w:numId w:val="0"/>
              </w:numPr>
              <w:suppressLineNumbers w:val="0"/>
              <w:jc w:val="left"/>
              <w:textAlignment w:val="center"/>
              <w:rPr>
                <w:rFonts w:ascii="宋体" w:hAnsi="宋体" w:eastAsia="宋体" w:cs="宋体"/>
                <w:sz w:val="24"/>
                <w:szCs w:val="24"/>
              </w:rPr>
            </w:pPr>
            <w:r>
              <w:rPr>
                <w:rFonts w:hint="eastAsia" w:ascii="宋体" w:hAnsi="宋体" w:eastAsia="宋体" w:cs="宋体"/>
                <w:sz w:val="24"/>
                <w:szCs w:val="24"/>
                <w:lang w:val="en-US" w:eastAsia="zh-CN"/>
              </w:rPr>
              <w:t>2、</w:t>
            </w:r>
            <w:r>
              <w:rPr>
                <w:rFonts w:ascii="宋体" w:hAnsi="宋体" w:eastAsia="宋体" w:cs="宋体"/>
                <w:sz w:val="24"/>
                <w:szCs w:val="24"/>
              </w:rPr>
              <w:t>饰面：卡其灰色和木纹色浸渍胶膜纸饰面搭配，符合 GB/T28995</w:t>
            </w:r>
            <w:r>
              <w:rPr>
                <w:rFonts w:ascii="宋体" w:hAnsi="宋体" w:eastAsia="宋体" w:cs="宋体"/>
                <w:sz w:val="24"/>
                <w:szCs w:val="24"/>
              </w:rPr>
              <w:noBreakHyphen/>
            </w:r>
            <w:r>
              <w:rPr>
                <w:rFonts w:ascii="宋体" w:hAnsi="宋体" w:eastAsia="宋体" w:cs="宋体"/>
                <w:sz w:val="24"/>
                <w:szCs w:val="24"/>
              </w:rPr>
              <w:t>2012 人造板饰面专用纸；表面稳定性好，层次感优，耐污抗磨性强；</w:t>
            </w:r>
          </w:p>
          <w:p w14:paraId="5D663C7F">
            <w:pPr>
              <w:keepNext w:val="0"/>
              <w:keepLines w:val="0"/>
              <w:widowControl/>
              <w:numPr>
                <w:ilvl w:val="0"/>
                <w:numId w:val="0"/>
              </w:numPr>
              <w:suppressLineNumbers w:val="0"/>
              <w:jc w:val="left"/>
              <w:textAlignment w:val="center"/>
              <w:rPr>
                <w:rFonts w:ascii="宋体" w:hAnsi="宋体" w:eastAsia="宋体" w:cs="宋体"/>
                <w:sz w:val="24"/>
                <w:szCs w:val="24"/>
              </w:rPr>
            </w:pPr>
            <w:r>
              <w:rPr>
                <w:rFonts w:ascii="宋体" w:hAnsi="宋体" w:eastAsia="宋体" w:cs="宋体"/>
                <w:sz w:val="24"/>
                <w:szCs w:val="24"/>
              </w:rPr>
              <w:t>3</w:t>
            </w:r>
            <w:r>
              <w:rPr>
                <w:rFonts w:hint="eastAsia" w:ascii="宋体" w:hAnsi="宋体" w:eastAsia="宋体" w:cs="宋体"/>
                <w:sz w:val="24"/>
                <w:szCs w:val="24"/>
                <w:lang w:eastAsia="zh-CN"/>
              </w:rPr>
              <w:t>、</w:t>
            </w:r>
            <w:r>
              <w:rPr>
                <w:rFonts w:ascii="宋体" w:hAnsi="宋体" w:eastAsia="宋体" w:cs="宋体"/>
                <w:sz w:val="24"/>
                <w:szCs w:val="24"/>
              </w:rPr>
              <w:t>封边：板材全部采用同色 PVC/ABS 封边条封边，封边严密平整、无脱胶，符合 QB/T4463</w:t>
            </w:r>
            <w:r>
              <w:rPr>
                <w:rFonts w:ascii="宋体" w:hAnsi="宋体" w:eastAsia="宋体" w:cs="宋体"/>
                <w:sz w:val="24"/>
                <w:szCs w:val="24"/>
              </w:rPr>
              <w:noBreakHyphen/>
            </w:r>
            <w:r>
              <w:rPr>
                <w:rFonts w:ascii="宋体" w:hAnsi="宋体" w:eastAsia="宋体" w:cs="宋体"/>
                <w:sz w:val="24"/>
                <w:szCs w:val="24"/>
              </w:rPr>
              <w:t>2013 家具用封边条技术要求；</w:t>
            </w:r>
          </w:p>
          <w:p w14:paraId="536E8A8B">
            <w:pPr>
              <w:keepNext w:val="0"/>
              <w:keepLines w:val="0"/>
              <w:widowControl/>
              <w:numPr>
                <w:ilvl w:val="0"/>
                <w:numId w:val="0"/>
              </w:numPr>
              <w:suppressLineNumbers w:val="0"/>
              <w:jc w:val="left"/>
              <w:textAlignment w:val="center"/>
              <w:rPr>
                <w:rFonts w:ascii="宋体" w:hAnsi="宋体" w:eastAsia="宋体" w:cs="宋体"/>
                <w:sz w:val="24"/>
                <w:szCs w:val="24"/>
              </w:rPr>
            </w:pPr>
            <w:r>
              <w:rPr>
                <w:rFonts w:ascii="宋体" w:hAnsi="宋体" w:eastAsia="宋体" w:cs="宋体"/>
                <w:sz w:val="24"/>
                <w:szCs w:val="24"/>
              </w:rPr>
              <w:t>4</w:t>
            </w:r>
            <w:r>
              <w:rPr>
                <w:rFonts w:hint="eastAsia" w:ascii="宋体" w:hAnsi="宋体" w:eastAsia="宋体" w:cs="宋体"/>
                <w:sz w:val="24"/>
                <w:szCs w:val="24"/>
                <w:lang w:eastAsia="zh-CN"/>
              </w:rPr>
              <w:t>、</w:t>
            </w:r>
            <w:r>
              <w:rPr>
                <w:rFonts w:ascii="宋体" w:hAnsi="宋体" w:eastAsia="宋体" w:cs="宋体"/>
                <w:sz w:val="24"/>
                <w:szCs w:val="24"/>
              </w:rPr>
              <w:t xml:space="preserve"> 细部采用环保油漆喷涂，执行五底三面油漆工艺，油漆符合 GB 18581</w:t>
            </w:r>
            <w:r>
              <w:rPr>
                <w:rFonts w:ascii="宋体" w:hAnsi="宋体" w:eastAsia="宋体" w:cs="宋体"/>
                <w:sz w:val="24"/>
                <w:szCs w:val="24"/>
              </w:rPr>
              <w:noBreakHyphen/>
            </w:r>
            <w:r>
              <w:rPr>
                <w:rFonts w:ascii="宋体" w:hAnsi="宋体" w:eastAsia="宋体" w:cs="宋体"/>
                <w:sz w:val="24"/>
                <w:szCs w:val="24"/>
              </w:rPr>
              <w:t>2020 木器涂料有害物质限量，高端环保；</w:t>
            </w:r>
          </w:p>
          <w:p w14:paraId="6F873E99">
            <w:pPr>
              <w:keepNext w:val="0"/>
              <w:keepLines w:val="0"/>
              <w:widowControl/>
              <w:numPr>
                <w:ilvl w:val="0"/>
                <w:numId w:val="0"/>
              </w:numPr>
              <w:suppressLineNumbers w:val="0"/>
              <w:jc w:val="left"/>
              <w:textAlignment w:val="center"/>
              <w:rPr>
                <w:rFonts w:ascii="宋体" w:hAnsi="宋体" w:eastAsia="宋体" w:cs="宋体"/>
                <w:sz w:val="24"/>
                <w:szCs w:val="24"/>
              </w:rPr>
            </w:pPr>
            <w:r>
              <w:rPr>
                <w:rFonts w:ascii="宋体" w:hAnsi="宋体" w:eastAsia="宋体" w:cs="宋体"/>
                <w:sz w:val="24"/>
                <w:szCs w:val="24"/>
              </w:rPr>
              <w:t>5</w:t>
            </w:r>
            <w:r>
              <w:rPr>
                <w:rFonts w:hint="eastAsia" w:ascii="宋体" w:hAnsi="宋体" w:eastAsia="宋体" w:cs="宋体"/>
                <w:sz w:val="24"/>
                <w:szCs w:val="24"/>
                <w:lang w:eastAsia="zh-CN"/>
              </w:rPr>
              <w:t>、</w:t>
            </w:r>
            <w:r>
              <w:rPr>
                <w:rFonts w:ascii="宋体" w:hAnsi="宋体" w:eastAsia="宋体" w:cs="宋体"/>
                <w:sz w:val="24"/>
                <w:szCs w:val="24"/>
              </w:rPr>
              <w:t>五金：国内优质五金配件，铰链、滑轨、锁具开合顺畅、经久耐用；</w:t>
            </w:r>
          </w:p>
          <w:p w14:paraId="5F586D87">
            <w:pPr>
              <w:keepNext w:val="0"/>
              <w:keepLines w:val="0"/>
              <w:widowControl/>
              <w:numPr>
                <w:ilvl w:val="0"/>
                <w:numId w:val="0"/>
              </w:numPr>
              <w:suppressLineNumbers w:val="0"/>
              <w:jc w:val="left"/>
              <w:textAlignment w:val="center"/>
              <w:rPr>
                <w:rFonts w:ascii="宋体" w:hAnsi="宋体" w:eastAsia="宋体" w:cs="宋体"/>
                <w:sz w:val="24"/>
                <w:szCs w:val="24"/>
              </w:rPr>
            </w:pPr>
            <w:r>
              <w:rPr>
                <w:rFonts w:ascii="宋体" w:hAnsi="宋体" w:eastAsia="宋体" w:cs="宋体"/>
                <w:sz w:val="24"/>
                <w:szCs w:val="24"/>
              </w:rPr>
              <w:t>6</w:t>
            </w:r>
            <w:r>
              <w:rPr>
                <w:rFonts w:hint="eastAsia" w:ascii="宋体" w:hAnsi="宋体" w:eastAsia="宋体" w:cs="宋体"/>
                <w:sz w:val="24"/>
                <w:szCs w:val="24"/>
                <w:lang w:eastAsia="zh-CN"/>
              </w:rPr>
              <w:t>、</w:t>
            </w:r>
            <w:r>
              <w:rPr>
                <w:rFonts w:ascii="宋体" w:hAnsi="宋体" w:eastAsia="宋体" w:cs="宋体"/>
                <w:sz w:val="24"/>
                <w:szCs w:val="24"/>
              </w:rPr>
              <w:t>胶粘剂：符合 GB18583</w:t>
            </w:r>
            <w:r>
              <w:rPr>
                <w:rFonts w:ascii="宋体" w:hAnsi="宋体" w:eastAsia="宋体" w:cs="宋体"/>
                <w:sz w:val="24"/>
                <w:szCs w:val="24"/>
              </w:rPr>
              <w:noBreakHyphen/>
            </w:r>
            <w:r>
              <w:rPr>
                <w:rFonts w:ascii="宋体" w:hAnsi="宋体" w:eastAsia="宋体" w:cs="宋体"/>
                <w:sz w:val="24"/>
                <w:szCs w:val="24"/>
              </w:rPr>
              <w:t>2008 室内装饰装修材料胶粘剂中有害物质限量；</w:t>
            </w:r>
          </w:p>
          <w:p w14:paraId="760A1D0F">
            <w:pPr>
              <w:keepNext w:val="0"/>
              <w:keepLines w:val="0"/>
              <w:widowControl/>
              <w:numPr>
                <w:ilvl w:val="0"/>
                <w:numId w:val="0"/>
              </w:numPr>
              <w:suppressLineNumbers w:val="0"/>
              <w:jc w:val="left"/>
              <w:textAlignment w:val="center"/>
              <w:rPr>
                <w:rFonts w:ascii="宋体" w:hAnsi="宋体" w:eastAsia="宋体" w:cs="宋体"/>
                <w:color w:val="000000"/>
                <w:sz w:val="24"/>
                <w:szCs w:val="24"/>
              </w:rPr>
            </w:pPr>
            <w:r>
              <w:rPr>
                <w:rFonts w:ascii="宋体" w:hAnsi="宋体" w:eastAsia="宋体" w:cs="宋体"/>
                <w:sz w:val="24"/>
                <w:szCs w:val="24"/>
              </w:rPr>
              <w:t>7</w:t>
            </w:r>
            <w:r>
              <w:rPr>
                <w:rFonts w:hint="eastAsia" w:ascii="宋体" w:hAnsi="宋体" w:eastAsia="宋体" w:cs="宋体"/>
                <w:sz w:val="24"/>
                <w:szCs w:val="24"/>
                <w:lang w:eastAsia="zh-CN"/>
              </w:rPr>
              <w:t>、</w:t>
            </w:r>
            <w:r>
              <w:rPr>
                <w:rFonts w:ascii="宋体" w:hAnsi="宋体" w:eastAsia="宋体" w:cs="宋体"/>
                <w:sz w:val="24"/>
                <w:szCs w:val="24"/>
              </w:rPr>
              <w:t>成品：柜体方正，柜门缝隙均匀，边角倒圆处理，无崩边、磕碰，整体结构稳固，符合 GB/T3324</w:t>
            </w:r>
            <w:r>
              <w:rPr>
                <w:rFonts w:ascii="宋体" w:hAnsi="宋体" w:eastAsia="宋体" w:cs="宋体"/>
                <w:sz w:val="24"/>
                <w:szCs w:val="24"/>
              </w:rPr>
              <w:noBreakHyphen/>
            </w:r>
            <w:r>
              <w:rPr>
                <w:rFonts w:ascii="宋体" w:hAnsi="宋体" w:eastAsia="宋体" w:cs="宋体"/>
                <w:sz w:val="24"/>
                <w:szCs w:val="24"/>
              </w:rPr>
              <w:t>2017 木家具通用技术条件。</w:t>
            </w:r>
            <w:r>
              <w:rPr>
                <w:rFonts w:hint="eastAsia" w:ascii="宋体" w:hAnsi="宋体" w:eastAsia="宋体" w:cs="宋体"/>
                <w:i w:val="0"/>
                <w:iCs w:val="0"/>
                <w:color w:val="000000"/>
                <w:kern w:val="0"/>
                <w:sz w:val="24"/>
                <w:szCs w:val="24"/>
                <w:u w:val="none"/>
                <w:lang w:val="en-US" w:eastAsia="zh-CN" w:bidi="ar"/>
              </w:rPr>
              <w:t xml:space="preserve">                                                                                                                                                            </w:t>
            </w:r>
          </w:p>
        </w:tc>
        <w:tc>
          <w:tcPr>
            <w:tcW w:w="783"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04B378A6">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组</w:t>
            </w:r>
          </w:p>
        </w:tc>
        <w:tc>
          <w:tcPr>
            <w:tcW w:w="75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465E6219">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13</w:t>
            </w:r>
          </w:p>
        </w:tc>
        <w:tc>
          <w:tcPr>
            <w:tcW w:w="2162" w:type="dxa"/>
            <w:tcBorders>
              <w:top w:val="single" w:color="auto" w:sz="4" w:space="0"/>
              <w:left w:val="single" w:color="000000" w:sz="4" w:space="0"/>
              <w:bottom w:val="single" w:color="000000" w:sz="4" w:space="0"/>
              <w:right w:val="single" w:color="000000" w:sz="4" w:space="0"/>
            </w:tcBorders>
            <w:shd w:val="clear" w:color="auto" w:fill="auto"/>
            <w:vAlign w:val="center"/>
          </w:tcPr>
          <w:p w14:paraId="5E44CF8A">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drawing>
                <wp:inline distT="0" distB="0" distL="114300" distR="114300">
                  <wp:extent cx="1379220" cy="1016000"/>
                  <wp:effectExtent l="0" t="0" r="11430" b="12700"/>
                  <wp:docPr id="10"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descr="IMG_260"/>
                          <pic:cNvPicPr>
                            <a:picLocks noChangeAspect="1"/>
                          </pic:cNvPicPr>
                        </pic:nvPicPr>
                        <pic:blipFill>
                          <a:blip r:embed="rId8"/>
                          <a:stretch>
                            <a:fillRect/>
                          </a:stretch>
                        </pic:blipFill>
                        <pic:spPr>
                          <a:xfrm>
                            <a:off x="0" y="0"/>
                            <a:ext cx="1379220" cy="1016000"/>
                          </a:xfrm>
                          <a:prstGeom prst="rect">
                            <a:avLst/>
                          </a:prstGeom>
                          <a:noFill/>
                          <a:ln w="9525">
                            <a:noFill/>
                          </a:ln>
                        </pic:spPr>
                      </pic:pic>
                    </a:graphicData>
                  </a:graphic>
                </wp:inline>
              </w:drawing>
            </w:r>
          </w:p>
        </w:tc>
      </w:tr>
      <w:tr w14:paraId="3868DA1F">
        <w:tblPrEx>
          <w:tblCellMar>
            <w:top w:w="0" w:type="dxa"/>
            <w:left w:w="108" w:type="dxa"/>
            <w:bottom w:w="0" w:type="dxa"/>
            <w:right w:w="108" w:type="dxa"/>
          </w:tblCellMar>
        </w:tblPrEx>
        <w:trPr>
          <w:trHeight w:val="20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737A0">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11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87BF11">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rPr>
              <w:t>工作台</w:t>
            </w:r>
          </w:p>
          <w:p w14:paraId="5E221A8F">
            <w:pPr>
              <w:widowControl/>
              <w:jc w:val="center"/>
              <w:textAlignment w:val="center"/>
              <w:rPr>
                <w:rFonts w:ascii="宋体" w:hAnsi="宋体" w:eastAsia="宋体" w:cs="宋体"/>
                <w:color w:val="000000"/>
                <w:sz w:val="24"/>
                <w:szCs w:val="24"/>
              </w:rPr>
            </w:pPr>
          </w:p>
        </w:tc>
        <w:tc>
          <w:tcPr>
            <w:tcW w:w="5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C1C53">
            <w:pPr>
              <w:keepNext w:val="0"/>
              <w:keepLines w:val="0"/>
              <w:widowControl/>
              <w:suppressLineNumbers w:val="0"/>
              <w:jc w:val="left"/>
              <w:textAlignment w:val="center"/>
              <w:rPr>
                <w:rFonts w:hint="eastAsia" w:ascii="宋体" w:hAnsi="宋体" w:eastAsia="宋体" w:cs="宋体"/>
                <w:sz w:val="24"/>
                <w:szCs w:val="24"/>
                <w:lang w:eastAsia="zh-CN"/>
              </w:rPr>
            </w:pPr>
            <w:r>
              <w:rPr>
                <w:rFonts w:hint="eastAsia" w:ascii="宋体" w:hAnsi="宋体" w:eastAsia="宋体" w:cs="宋体"/>
                <w:i w:val="0"/>
                <w:iCs w:val="0"/>
                <w:color w:val="000000"/>
                <w:kern w:val="0"/>
                <w:sz w:val="24"/>
                <w:szCs w:val="24"/>
                <w:u w:val="none"/>
                <w:lang w:val="en-US" w:eastAsia="zh-CN" w:bidi="ar"/>
              </w:rPr>
              <w:t>尺寸：1200*800*750                                                                                       1、台面基材：采用50厚北欧松木实木板，</w:t>
            </w:r>
            <w:r>
              <w:rPr>
                <w:rFonts w:ascii="宋体" w:hAnsi="宋体" w:eastAsia="宋体" w:cs="宋体"/>
                <w:sz w:val="24"/>
                <w:szCs w:val="24"/>
              </w:rPr>
              <w:t>木材含水率 8</w:t>
            </w:r>
            <w:r>
              <w:rPr>
                <w:rFonts w:ascii="宋体" w:hAnsi="宋体" w:eastAsia="宋体" w:cs="宋体"/>
                <w:sz w:val="24"/>
                <w:szCs w:val="24"/>
              </w:rPr>
              <w:noBreakHyphen/>
            </w:r>
            <w:r>
              <w:rPr>
                <w:rFonts w:ascii="宋体" w:hAnsi="宋体" w:eastAsia="宋体" w:cs="宋体"/>
                <w:sz w:val="24"/>
                <w:szCs w:val="24"/>
              </w:rPr>
              <w:t>13%，无开裂、变形、虫蛀缺陷</w:t>
            </w:r>
            <w:r>
              <w:rPr>
                <w:rFonts w:hint="eastAsia" w:ascii="宋体" w:hAnsi="宋体" w:eastAsia="宋体" w:cs="宋体"/>
                <w:i w:val="0"/>
                <w:iCs w:val="0"/>
                <w:color w:val="000000"/>
                <w:kern w:val="0"/>
                <w:sz w:val="24"/>
                <w:szCs w:val="24"/>
                <w:u w:val="none"/>
                <w:lang w:val="en-US" w:eastAsia="zh-CN" w:bidi="ar"/>
              </w:rPr>
              <w:t>；                                                                                             2、台面油漆：环保水性清漆，</w:t>
            </w:r>
            <w:r>
              <w:rPr>
                <w:rFonts w:ascii="宋体" w:hAnsi="宋体" w:eastAsia="宋体" w:cs="宋体"/>
                <w:sz w:val="24"/>
                <w:szCs w:val="24"/>
              </w:rPr>
              <w:t>油漆符合 GB 18581</w:t>
            </w:r>
            <w:r>
              <w:rPr>
                <w:rFonts w:ascii="宋体" w:hAnsi="宋体" w:eastAsia="宋体" w:cs="宋体"/>
                <w:sz w:val="24"/>
                <w:szCs w:val="24"/>
              </w:rPr>
              <w:noBreakHyphen/>
            </w:r>
            <w:r>
              <w:rPr>
                <w:rFonts w:ascii="宋体" w:hAnsi="宋体" w:eastAsia="宋体" w:cs="宋体"/>
                <w:sz w:val="24"/>
                <w:szCs w:val="24"/>
              </w:rPr>
              <w:t>2020 木器涂料中有害物质限量，VOC、甲醛、重金属指标达标</w:t>
            </w:r>
            <w:r>
              <w:rPr>
                <w:rFonts w:hint="eastAsia" w:ascii="宋体" w:hAnsi="宋体" w:eastAsia="宋体" w:cs="宋体"/>
                <w:i w:val="0"/>
                <w:iCs w:val="0"/>
                <w:color w:val="000000"/>
                <w:kern w:val="0"/>
                <w:sz w:val="24"/>
                <w:szCs w:val="24"/>
                <w:u w:val="none"/>
                <w:lang w:val="en-US" w:eastAsia="zh-CN" w:bidi="ar"/>
              </w:rPr>
              <w:t>；                                                                                                                                                                             3、台脚：</w:t>
            </w:r>
            <w:r>
              <w:rPr>
                <w:rFonts w:ascii="宋体" w:hAnsi="宋体" w:eastAsia="宋体" w:cs="宋体"/>
                <w:sz w:val="24"/>
                <w:szCs w:val="24"/>
              </w:rPr>
              <w:t>50*50 碳素钢管，多连杆设计，壁厚≥1.2mm，脱脂、酸洗、磷化、防锈后烤漆工艺，漆面均匀，无掉漆、锈蚀；焊接平整牢固</w:t>
            </w:r>
            <w:r>
              <w:rPr>
                <w:rFonts w:hint="eastAsia" w:ascii="宋体" w:hAnsi="宋体" w:eastAsia="宋体" w:cs="宋体"/>
                <w:sz w:val="24"/>
                <w:szCs w:val="24"/>
                <w:lang w:eastAsia="zh-CN"/>
              </w:rPr>
              <w:t>；</w:t>
            </w:r>
          </w:p>
          <w:p w14:paraId="053E3521">
            <w:pPr>
              <w:keepNext w:val="0"/>
              <w:keepLines w:val="0"/>
              <w:widowControl/>
              <w:suppressLineNumbers w:val="0"/>
              <w:jc w:val="left"/>
              <w:textAlignment w:val="center"/>
              <w:rPr>
                <w:rFonts w:ascii="宋体" w:hAnsi="宋体" w:eastAsia="宋体" w:cs="宋体"/>
                <w:color w:val="000000"/>
                <w:sz w:val="24"/>
                <w:szCs w:val="24"/>
              </w:rPr>
            </w:pPr>
            <w:r>
              <w:rPr>
                <w:rFonts w:ascii="宋体" w:hAnsi="宋体" w:eastAsia="宋体" w:cs="宋体"/>
                <w:sz w:val="24"/>
                <w:szCs w:val="24"/>
              </w:rPr>
              <w:t>4</w:t>
            </w:r>
            <w:r>
              <w:rPr>
                <w:rFonts w:hint="eastAsia" w:ascii="宋体" w:hAnsi="宋体" w:eastAsia="宋体" w:cs="宋体"/>
                <w:sz w:val="24"/>
                <w:szCs w:val="24"/>
                <w:lang w:eastAsia="zh-CN"/>
              </w:rPr>
              <w:t>、</w:t>
            </w:r>
            <w:r>
              <w:rPr>
                <w:rFonts w:ascii="宋体" w:hAnsi="宋体" w:eastAsia="宋体" w:cs="宋体"/>
                <w:sz w:val="24"/>
                <w:szCs w:val="24"/>
              </w:rPr>
              <w:t>成品：边角倒圆，无毛刺；整体结构稳固，承重性能满足工作台使用要求；符合木家具、金属家具相关国家行业标准。</w:t>
            </w:r>
            <w:r>
              <w:rPr>
                <w:rFonts w:hint="eastAsia" w:ascii="宋体" w:hAnsi="宋体" w:eastAsia="宋体" w:cs="宋体"/>
                <w:i w:val="0"/>
                <w:iCs w:val="0"/>
                <w:color w:val="000000"/>
                <w:kern w:val="0"/>
                <w:sz w:val="24"/>
                <w:szCs w:val="24"/>
                <w:u w:val="none"/>
                <w:lang w:val="en-US" w:eastAsia="zh-CN" w:bidi="ar"/>
              </w:rPr>
              <w:t xml:space="preserve">                                           </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CAB07">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张</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A1646">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12</w:t>
            </w:r>
          </w:p>
        </w:tc>
        <w:tc>
          <w:tcPr>
            <w:tcW w:w="2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32A32">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drawing>
                <wp:inline distT="0" distB="0" distL="114300" distR="114300">
                  <wp:extent cx="1234440" cy="990600"/>
                  <wp:effectExtent l="0" t="0" r="3810" b="0"/>
                  <wp:docPr id="11"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descr="IMG_261"/>
                          <pic:cNvPicPr>
                            <a:picLocks noChangeAspect="1"/>
                          </pic:cNvPicPr>
                        </pic:nvPicPr>
                        <pic:blipFill>
                          <a:blip r:embed="rId9"/>
                          <a:stretch>
                            <a:fillRect/>
                          </a:stretch>
                        </pic:blipFill>
                        <pic:spPr>
                          <a:xfrm>
                            <a:off x="0" y="0"/>
                            <a:ext cx="1234440" cy="990600"/>
                          </a:xfrm>
                          <a:prstGeom prst="rect">
                            <a:avLst/>
                          </a:prstGeom>
                          <a:noFill/>
                          <a:ln w="9525">
                            <a:noFill/>
                          </a:ln>
                        </pic:spPr>
                      </pic:pic>
                    </a:graphicData>
                  </a:graphic>
                </wp:inline>
              </w:drawing>
            </w:r>
          </w:p>
        </w:tc>
      </w:tr>
    </w:tbl>
    <w:p w14:paraId="34137969">
      <w:pPr>
        <w:spacing w:line="360" w:lineRule="auto"/>
        <w:ind w:firstLine="560" w:firstLineChars="200"/>
        <w:rPr>
          <w:rFonts w:hint="eastAsia" w:ascii="宋体" w:hAnsi="宋体" w:eastAsia="宋体"/>
          <w:sz w:val="28"/>
          <w:szCs w:val="28"/>
        </w:rPr>
      </w:pPr>
      <w:r>
        <w:rPr>
          <w:rFonts w:hint="eastAsia" w:ascii="宋体" w:hAnsi="宋体" w:eastAsia="宋体"/>
          <w:sz w:val="28"/>
          <w:szCs w:val="28"/>
        </w:rPr>
        <w:t>四、技术要求</w:t>
      </w:r>
    </w:p>
    <w:p w14:paraId="21A3903C">
      <w:pPr>
        <w:spacing w:line="360" w:lineRule="auto"/>
        <w:ind w:firstLine="560" w:firstLineChars="200"/>
        <w:rPr>
          <w:rFonts w:hint="eastAsia" w:ascii="宋体" w:hAnsi="宋体" w:eastAsia="宋体"/>
          <w:sz w:val="28"/>
          <w:szCs w:val="28"/>
        </w:rPr>
      </w:pPr>
      <w:r>
        <w:rPr>
          <w:rFonts w:hint="eastAsia" w:ascii="宋体" w:hAnsi="宋体" w:eastAsia="宋体"/>
          <w:sz w:val="28"/>
          <w:szCs w:val="28"/>
        </w:rPr>
        <w:t>（一）质量要求和技术标准</w:t>
      </w:r>
    </w:p>
    <w:p w14:paraId="501F7ABB">
      <w:pPr>
        <w:spacing w:line="360" w:lineRule="auto"/>
        <w:ind w:firstLine="560" w:firstLineChars="200"/>
        <w:rPr>
          <w:rFonts w:hint="eastAsia" w:ascii="宋体" w:hAnsi="宋体" w:eastAsia="宋体"/>
          <w:sz w:val="28"/>
          <w:szCs w:val="28"/>
        </w:rPr>
      </w:pPr>
      <w:r>
        <w:rPr>
          <w:rFonts w:hint="eastAsia" w:ascii="宋体" w:hAnsi="宋体" w:eastAsia="宋体"/>
          <w:sz w:val="28"/>
          <w:szCs w:val="28"/>
        </w:rPr>
        <w:t>1. 中标</w:t>
      </w:r>
      <w:r>
        <w:rPr>
          <w:rFonts w:hint="eastAsia" w:ascii="宋体" w:hAnsi="宋体" w:eastAsia="宋体"/>
          <w:sz w:val="28"/>
          <w:szCs w:val="28"/>
          <w:lang w:val="en-US" w:eastAsia="zh-CN"/>
        </w:rPr>
        <w:t>供应商</w:t>
      </w:r>
      <w:r>
        <w:rPr>
          <w:rFonts w:hint="eastAsia" w:ascii="宋体" w:hAnsi="宋体" w:eastAsia="宋体"/>
          <w:sz w:val="28"/>
          <w:szCs w:val="28"/>
        </w:rPr>
        <w:t>提供的货物是用优良的工艺和优质材料制造而成的并符合最新的中华人民共和国国家安全环保标准、国家有关产品质量认证标准。</w:t>
      </w:r>
    </w:p>
    <w:p w14:paraId="40F433C0">
      <w:pPr>
        <w:spacing w:line="360" w:lineRule="auto"/>
        <w:ind w:firstLine="560" w:firstLineChars="200"/>
        <w:rPr>
          <w:rFonts w:hint="eastAsia" w:ascii="宋体" w:hAnsi="宋体" w:eastAsia="宋体"/>
          <w:sz w:val="28"/>
          <w:szCs w:val="28"/>
        </w:rPr>
      </w:pPr>
      <w:r>
        <w:rPr>
          <w:rFonts w:hint="eastAsia" w:ascii="宋体" w:hAnsi="宋体" w:eastAsia="宋体"/>
          <w:sz w:val="28"/>
          <w:szCs w:val="28"/>
        </w:rPr>
        <w:t>2. 中标</w:t>
      </w:r>
      <w:r>
        <w:rPr>
          <w:rFonts w:hint="eastAsia" w:ascii="宋体" w:hAnsi="宋体" w:eastAsia="宋体"/>
          <w:sz w:val="28"/>
          <w:szCs w:val="28"/>
          <w:lang w:val="en-US" w:eastAsia="zh-CN"/>
        </w:rPr>
        <w:t>供应商</w:t>
      </w:r>
      <w:r>
        <w:rPr>
          <w:rFonts w:hint="eastAsia" w:ascii="宋体" w:hAnsi="宋体" w:eastAsia="宋体"/>
          <w:sz w:val="28"/>
          <w:szCs w:val="28"/>
        </w:rPr>
        <w:t>提供的货物（含零配件、随机工具等）是全新、表面和内部均无瑕疵的原厂正品，并需随货物装箱提供制造厂的设备检验、测试报告、设备检验合格证书、质量保证书和保修书等证明文件。</w:t>
      </w:r>
    </w:p>
    <w:p w14:paraId="03B3183B">
      <w:pPr>
        <w:spacing w:line="360" w:lineRule="auto"/>
        <w:ind w:firstLine="560" w:firstLineChars="200"/>
        <w:rPr>
          <w:rFonts w:hint="eastAsia" w:ascii="宋体" w:hAnsi="宋体" w:eastAsia="宋体"/>
          <w:sz w:val="28"/>
          <w:szCs w:val="28"/>
        </w:rPr>
      </w:pPr>
      <w:r>
        <w:rPr>
          <w:rFonts w:hint="eastAsia" w:ascii="宋体" w:hAnsi="宋体" w:eastAsia="宋体"/>
          <w:sz w:val="28"/>
          <w:szCs w:val="28"/>
        </w:rPr>
        <w:t>3. 中标</w:t>
      </w:r>
      <w:r>
        <w:rPr>
          <w:rFonts w:hint="eastAsia" w:ascii="宋体" w:hAnsi="宋体" w:eastAsia="宋体"/>
          <w:sz w:val="28"/>
          <w:szCs w:val="28"/>
          <w:lang w:val="en-US" w:eastAsia="zh-CN"/>
        </w:rPr>
        <w:t>供应商</w:t>
      </w:r>
      <w:r>
        <w:rPr>
          <w:rFonts w:hint="eastAsia" w:ascii="宋体" w:hAnsi="宋体" w:eastAsia="宋体"/>
          <w:sz w:val="28"/>
          <w:szCs w:val="28"/>
        </w:rPr>
        <w:t>必须具备与采购标的相关的外观、结构、工艺及技术专利（专利须在保护期内）。另外必须保证提供的货物不侵犯任何第三方的专利、商标或版权，否则，中标</w:t>
      </w:r>
      <w:r>
        <w:rPr>
          <w:rFonts w:hint="eastAsia" w:ascii="宋体" w:hAnsi="宋体" w:eastAsia="宋体"/>
          <w:sz w:val="28"/>
          <w:szCs w:val="28"/>
          <w:lang w:val="en-US" w:eastAsia="zh-CN"/>
        </w:rPr>
        <w:t>供应商</w:t>
      </w:r>
      <w:r>
        <w:rPr>
          <w:rFonts w:hint="eastAsia" w:ascii="宋体" w:hAnsi="宋体" w:eastAsia="宋体"/>
          <w:sz w:val="28"/>
          <w:szCs w:val="28"/>
        </w:rPr>
        <w:t>必须承担对第三方的专利或版权的侵权责任并承担因此而发生的所有费用  。</w:t>
      </w:r>
    </w:p>
    <w:p w14:paraId="2C308972">
      <w:pPr>
        <w:spacing w:line="360" w:lineRule="auto"/>
        <w:ind w:firstLine="560" w:firstLineChars="200"/>
        <w:rPr>
          <w:rFonts w:hint="eastAsia" w:ascii="宋体" w:hAnsi="宋体" w:eastAsia="宋体"/>
          <w:sz w:val="28"/>
          <w:szCs w:val="28"/>
        </w:rPr>
      </w:pPr>
      <w:r>
        <w:rPr>
          <w:rFonts w:hint="eastAsia" w:ascii="宋体" w:hAnsi="宋体" w:eastAsia="宋体"/>
          <w:sz w:val="28"/>
          <w:szCs w:val="28"/>
        </w:rPr>
        <w:t>4. 所有家具及安装应坚固、实用、安全、美观（端正平整）。</w:t>
      </w:r>
    </w:p>
    <w:p w14:paraId="17A324AF">
      <w:pPr>
        <w:spacing w:line="360" w:lineRule="auto"/>
        <w:ind w:firstLine="560" w:firstLineChars="200"/>
        <w:rPr>
          <w:rFonts w:hint="eastAsia" w:ascii="宋体" w:hAnsi="宋体" w:eastAsia="宋体"/>
          <w:sz w:val="28"/>
          <w:szCs w:val="28"/>
        </w:rPr>
      </w:pPr>
      <w:r>
        <w:rPr>
          <w:rFonts w:hint="eastAsia" w:ascii="宋体" w:hAnsi="宋体" w:eastAsia="宋体"/>
          <w:sz w:val="28"/>
          <w:szCs w:val="28"/>
        </w:rPr>
        <w:t>5. 所有面材、基材、油漆、胶水、五金配件、台面工艺等符合采购文件要求 , 其技术要求应等同或优于采购文件所规定的技术要求，投标（报价）人应提供必要的证明文件以证明该产品的技术性能，可靠性、安全性及耐用性。如果采用的材料及配件不符合招标文件要求的，中标后采购人有权要求中标</w:t>
      </w:r>
      <w:r>
        <w:rPr>
          <w:rFonts w:hint="eastAsia" w:ascii="宋体" w:hAnsi="宋体" w:eastAsia="宋体"/>
          <w:sz w:val="28"/>
          <w:szCs w:val="28"/>
          <w:lang w:val="en-US" w:eastAsia="zh-CN"/>
        </w:rPr>
        <w:t>供应商</w:t>
      </w:r>
      <w:r>
        <w:rPr>
          <w:rFonts w:hint="eastAsia" w:ascii="宋体" w:hAnsi="宋体" w:eastAsia="宋体"/>
          <w:sz w:val="28"/>
          <w:szCs w:val="28"/>
        </w:rPr>
        <w:t>按采购文件的要求选用材料及配件，但价格不予调整。</w:t>
      </w:r>
    </w:p>
    <w:p w14:paraId="39346B52">
      <w:pPr>
        <w:spacing w:line="360" w:lineRule="auto"/>
        <w:ind w:firstLine="560" w:firstLineChars="200"/>
        <w:rPr>
          <w:rFonts w:hint="eastAsia" w:ascii="宋体" w:hAnsi="宋体" w:eastAsia="宋体"/>
          <w:sz w:val="28"/>
          <w:szCs w:val="28"/>
        </w:rPr>
      </w:pPr>
      <w:r>
        <w:rPr>
          <w:rFonts w:hint="eastAsia" w:ascii="宋体" w:hAnsi="宋体" w:eastAsia="宋体"/>
          <w:sz w:val="28"/>
          <w:szCs w:val="28"/>
        </w:rPr>
        <w:t>6. 产品包装整齐，装配后紧密牢固。所有产品的木材、板面经喷油、打磨，光滑以确保人体免受损伤，油漆采用国家现行相关标准环保漆。产品符合国家现行相关标准和厂家出厂标准，要严格经过杀菌、杀虫处理，技术上不会变形，生虫，含水率符合使用地区平均平衡含水率。面材、基材（素板）、油漆、胶水中的甲醛、甲苯与二甲苯等苯系物质的释放量均应符合需求清单中材质要求所列出的限量标准。</w:t>
      </w:r>
    </w:p>
    <w:p w14:paraId="3D63A297">
      <w:pPr>
        <w:spacing w:line="360" w:lineRule="auto"/>
        <w:ind w:firstLine="560" w:firstLineChars="200"/>
        <w:rPr>
          <w:rFonts w:hint="eastAsia" w:ascii="宋体" w:hAnsi="宋体" w:eastAsia="宋体"/>
          <w:sz w:val="28"/>
          <w:szCs w:val="28"/>
        </w:rPr>
      </w:pPr>
      <w:r>
        <w:rPr>
          <w:rFonts w:hint="eastAsia" w:ascii="宋体" w:hAnsi="宋体" w:eastAsia="宋体"/>
          <w:sz w:val="28"/>
          <w:szCs w:val="28"/>
        </w:rPr>
        <w:t>（二）包装和运输</w:t>
      </w:r>
    </w:p>
    <w:p w14:paraId="23609988">
      <w:pPr>
        <w:spacing w:line="360" w:lineRule="auto"/>
        <w:ind w:firstLine="560" w:firstLineChars="200"/>
        <w:rPr>
          <w:rFonts w:hint="eastAsia" w:ascii="宋体" w:hAnsi="宋体" w:eastAsia="宋体"/>
          <w:sz w:val="28"/>
          <w:szCs w:val="28"/>
        </w:rPr>
      </w:pPr>
      <w:r>
        <w:rPr>
          <w:rFonts w:hint="eastAsia" w:ascii="宋体" w:hAnsi="宋体" w:eastAsia="宋体"/>
          <w:sz w:val="28"/>
          <w:szCs w:val="28"/>
        </w:rPr>
        <w:t>中标</w:t>
      </w:r>
      <w:r>
        <w:rPr>
          <w:rFonts w:hint="eastAsia" w:ascii="宋体" w:hAnsi="宋体" w:eastAsia="宋体"/>
          <w:sz w:val="28"/>
          <w:szCs w:val="28"/>
          <w:lang w:val="en-US" w:eastAsia="zh-CN"/>
        </w:rPr>
        <w:t>供应商</w:t>
      </w:r>
      <w:r>
        <w:rPr>
          <w:rFonts w:hint="eastAsia" w:ascii="宋体" w:hAnsi="宋体" w:eastAsia="宋体"/>
          <w:sz w:val="28"/>
          <w:szCs w:val="28"/>
        </w:rPr>
        <w:t>应采取防湿、防锈、防潮、防雨、防腐及防碰撞等相应措施对货物进行包装，确保货物在正常作业和装卸条件下安全无损地到达合同指定地点。</w:t>
      </w:r>
    </w:p>
    <w:p w14:paraId="0978C1CE">
      <w:pPr>
        <w:spacing w:line="360" w:lineRule="auto"/>
        <w:ind w:firstLine="560" w:firstLineChars="200"/>
        <w:rPr>
          <w:rFonts w:hint="eastAsia" w:ascii="宋体" w:hAnsi="宋体" w:eastAsia="宋体"/>
          <w:sz w:val="28"/>
          <w:szCs w:val="28"/>
        </w:rPr>
      </w:pPr>
      <w:r>
        <w:rPr>
          <w:rFonts w:hint="eastAsia" w:ascii="宋体" w:hAnsi="宋体" w:eastAsia="宋体"/>
          <w:sz w:val="28"/>
          <w:szCs w:val="28"/>
        </w:rPr>
        <w:t>（三）安装、调试</w:t>
      </w:r>
    </w:p>
    <w:p w14:paraId="79CC477C">
      <w:pPr>
        <w:spacing w:line="360" w:lineRule="auto"/>
        <w:ind w:firstLine="560" w:firstLineChars="200"/>
        <w:rPr>
          <w:rFonts w:hint="eastAsia" w:ascii="宋体" w:hAnsi="宋体" w:eastAsia="宋体"/>
          <w:sz w:val="28"/>
          <w:szCs w:val="28"/>
        </w:rPr>
      </w:pPr>
      <w:r>
        <w:rPr>
          <w:rFonts w:hint="eastAsia" w:ascii="宋体" w:hAnsi="宋体" w:eastAsia="宋体"/>
          <w:sz w:val="28"/>
          <w:szCs w:val="28"/>
        </w:rPr>
        <w:t>1. 中标</w:t>
      </w:r>
      <w:r>
        <w:rPr>
          <w:rFonts w:hint="eastAsia" w:ascii="宋体" w:hAnsi="宋体" w:eastAsia="宋体"/>
          <w:sz w:val="28"/>
          <w:szCs w:val="28"/>
          <w:lang w:val="en-US" w:eastAsia="zh-CN"/>
        </w:rPr>
        <w:t>供应商</w:t>
      </w:r>
      <w:r>
        <w:rPr>
          <w:rFonts w:hint="eastAsia" w:ascii="宋体" w:hAnsi="宋体" w:eastAsia="宋体"/>
          <w:sz w:val="28"/>
          <w:szCs w:val="28"/>
        </w:rPr>
        <w:t>需委派专门的技术人员将货物安装调试至正常运行的最佳使用状态。</w:t>
      </w:r>
    </w:p>
    <w:p w14:paraId="13929BC9">
      <w:pPr>
        <w:spacing w:line="360" w:lineRule="auto"/>
        <w:ind w:firstLine="560" w:firstLineChars="200"/>
        <w:rPr>
          <w:rFonts w:hint="eastAsia" w:ascii="宋体" w:hAnsi="宋体" w:eastAsia="宋体"/>
          <w:sz w:val="28"/>
          <w:szCs w:val="28"/>
        </w:rPr>
      </w:pPr>
      <w:r>
        <w:rPr>
          <w:rFonts w:hint="eastAsia" w:ascii="宋体" w:hAnsi="宋体" w:eastAsia="宋体"/>
          <w:sz w:val="28"/>
          <w:szCs w:val="28"/>
        </w:rPr>
        <w:t>2. 在家具安装过程中，出现争议的，以采购人意见为准。</w:t>
      </w:r>
    </w:p>
    <w:p w14:paraId="385623FE">
      <w:pPr>
        <w:spacing w:line="360" w:lineRule="auto"/>
        <w:ind w:firstLine="560" w:firstLineChars="200"/>
        <w:rPr>
          <w:rFonts w:hint="eastAsia" w:ascii="宋体" w:hAnsi="宋体" w:eastAsia="宋体"/>
          <w:sz w:val="28"/>
          <w:szCs w:val="28"/>
        </w:rPr>
      </w:pPr>
      <w:r>
        <w:rPr>
          <w:rFonts w:hint="eastAsia" w:ascii="宋体" w:hAnsi="宋体" w:eastAsia="宋体"/>
          <w:sz w:val="28"/>
          <w:szCs w:val="28"/>
        </w:rPr>
        <w:t>3. 中标</w:t>
      </w:r>
      <w:r>
        <w:rPr>
          <w:rFonts w:hint="eastAsia" w:ascii="宋体" w:hAnsi="宋体" w:eastAsia="宋体"/>
          <w:sz w:val="28"/>
          <w:szCs w:val="28"/>
          <w:lang w:val="en-US" w:eastAsia="zh-CN"/>
        </w:rPr>
        <w:t>供应商</w:t>
      </w:r>
      <w:r>
        <w:rPr>
          <w:rFonts w:hint="eastAsia" w:ascii="宋体" w:hAnsi="宋体" w:eastAsia="宋体"/>
          <w:sz w:val="28"/>
          <w:szCs w:val="28"/>
        </w:rPr>
        <w:t>在安装施工期间做到安全文明施工，不损伤或损坏采购人原有设备设施，否则需按市场重置价赔偿给采购人。</w:t>
      </w:r>
    </w:p>
    <w:p w14:paraId="1DBF45EB">
      <w:pPr>
        <w:spacing w:line="360" w:lineRule="auto"/>
        <w:ind w:firstLine="560" w:firstLineChars="200"/>
        <w:rPr>
          <w:rFonts w:ascii="宋体" w:hAnsi="宋体" w:eastAsia="宋体"/>
          <w:sz w:val="28"/>
          <w:szCs w:val="28"/>
        </w:rPr>
      </w:pPr>
      <w:r>
        <w:rPr>
          <w:rFonts w:hint="eastAsia" w:ascii="宋体" w:hAnsi="宋体" w:eastAsia="宋体"/>
          <w:sz w:val="28"/>
          <w:szCs w:val="28"/>
        </w:rPr>
        <w:t>五、商务要求</w:t>
      </w:r>
    </w:p>
    <w:p w14:paraId="5E668316">
      <w:pPr>
        <w:pStyle w:val="6"/>
        <w:spacing w:line="480" w:lineRule="exact"/>
        <w:ind w:firstLine="548" w:firstLineChars="196"/>
        <w:rPr>
          <w:rFonts w:asciiTheme="minorEastAsia" w:hAnsiTheme="minorEastAsia" w:cstheme="minorEastAsia"/>
          <w:sz w:val="28"/>
          <w:szCs w:val="28"/>
        </w:rPr>
      </w:pPr>
      <w:r>
        <w:rPr>
          <w:rFonts w:hint="eastAsia" w:asciiTheme="minorEastAsia" w:hAnsiTheme="minorEastAsia" w:cstheme="minorEastAsia"/>
          <w:sz w:val="28"/>
          <w:szCs w:val="28"/>
        </w:rPr>
        <w:t>1.以上采购需求为基本的技术需求，并无任何限制性，中标</w:t>
      </w:r>
      <w:r>
        <w:rPr>
          <w:rFonts w:hint="eastAsia" w:ascii="宋体" w:hAnsi="宋体" w:eastAsia="宋体"/>
          <w:sz w:val="28"/>
          <w:szCs w:val="28"/>
          <w:lang w:val="en-US" w:eastAsia="zh-CN"/>
        </w:rPr>
        <w:t>供应商</w:t>
      </w:r>
      <w:r>
        <w:rPr>
          <w:rFonts w:hint="eastAsia" w:asciiTheme="minorEastAsia" w:hAnsiTheme="minorEastAsia" w:cstheme="minorEastAsia"/>
          <w:sz w:val="28"/>
          <w:szCs w:val="28"/>
        </w:rPr>
        <w:t>应在上述基础上提供同等功能或更优的设备（或货物），以满足采购人的实际使用需要。</w:t>
      </w:r>
    </w:p>
    <w:p w14:paraId="3965C39A">
      <w:pPr>
        <w:pStyle w:val="6"/>
        <w:spacing w:line="480" w:lineRule="exact"/>
        <w:ind w:firstLine="548" w:firstLineChars="196"/>
        <w:rPr>
          <w:rFonts w:asciiTheme="minorEastAsia" w:hAnsiTheme="minorEastAsia" w:cstheme="minorEastAsia"/>
          <w:sz w:val="28"/>
          <w:szCs w:val="28"/>
        </w:rPr>
      </w:pPr>
      <w:r>
        <w:rPr>
          <w:rFonts w:hint="eastAsia" w:asciiTheme="minorEastAsia" w:hAnsiTheme="minorEastAsia" w:cstheme="minorEastAsia"/>
          <w:sz w:val="28"/>
          <w:szCs w:val="28"/>
        </w:rPr>
        <w:t>2.中标</w:t>
      </w:r>
      <w:r>
        <w:rPr>
          <w:rFonts w:hint="eastAsia" w:ascii="宋体" w:hAnsi="宋体" w:eastAsia="宋体"/>
          <w:sz w:val="28"/>
          <w:szCs w:val="28"/>
          <w:lang w:val="en-US" w:eastAsia="zh-CN"/>
        </w:rPr>
        <w:t>供应商</w:t>
      </w:r>
      <w:r>
        <w:rPr>
          <w:rFonts w:hint="eastAsia" w:asciiTheme="minorEastAsia" w:hAnsiTheme="minorEastAsia" w:cstheme="minorEastAsia"/>
          <w:sz w:val="28"/>
          <w:szCs w:val="28"/>
        </w:rPr>
        <w:t>所投报的货物必须是全新优质的产品，并提供所有产品的附件和技术咨询。</w:t>
      </w:r>
    </w:p>
    <w:p w14:paraId="75688E21">
      <w:pPr>
        <w:pStyle w:val="6"/>
        <w:spacing w:line="480" w:lineRule="exact"/>
        <w:ind w:firstLine="548" w:firstLineChars="196"/>
        <w:rPr>
          <w:rFonts w:asciiTheme="minorEastAsia" w:hAnsiTheme="minorEastAsia" w:cstheme="minorEastAsia"/>
          <w:sz w:val="28"/>
          <w:szCs w:val="28"/>
        </w:rPr>
      </w:pPr>
      <w:r>
        <w:rPr>
          <w:rFonts w:hint="eastAsia" w:asciiTheme="minorEastAsia" w:hAnsiTheme="minorEastAsia" w:cstheme="minorEastAsia"/>
          <w:sz w:val="28"/>
          <w:szCs w:val="28"/>
        </w:rPr>
        <w:t>3.中标</w:t>
      </w:r>
      <w:r>
        <w:rPr>
          <w:rFonts w:hint="eastAsia" w:ascii="宋体" w:hAnsi="宋体" w:eastAsia="宋体"/>
          <w:sz w:val="28"/>
          <w:szCs w:val="28"/>
          <w:lang w:val="en-US" w:eastAsia="zh-CN"/>
        </w:rPr>
        <w:t>供应商</w:t>
      </w:r>
      <w:r>
        <w:rPr>
          <w:rFonts w:hint="eastAsia" w:asciiTheme="minorEastAsia" w:hAnsiTheme="minorEastAsia" w:cstheme="minorEastAsia"/>
          <w:sz w:val="28"/>
          <w:szCs w:val="28"/>
        </w:rPr>
        <w:t>所投报的设备（或产品）和服务必须成套和完整，在《需求参数表》中未列明但属于产品运行（或使用）的所需附件必须一并投报。如果在安装和运行（或使用）过程中发现有缺项漏项，且又是正常运行（或使用）所必要的，中标</w:t>
      </w:r>
      <w:r>
        <w:rPr>
          <w:rFonts w:hint="eastAsia" w:ascii="宋体" w:hAnsi="宋体" w:eastAsia="宋体"/>
          <w:sz w:val="28"/>
          <w:szCs w:val="28"/>
          <w:lang w:val="en-US" w:eastAsia="zh-CN"/>
        </w:rPr>
        <w:t>供应商</w:t>
      </w:r>
      <w:r>
        <w:rPr>
          <w:rFonts w:hint="eastAsia" w:asciiTheme="minorEastAsia" w:hAnsiTheme="minorEastAsia" w:cstheme="minorEastAsia"/>
          <w:sz w:val="28"/>
          <w:szCs w:val="28"/>
        </w:rPr>
        <w:t>应当无偿提供。</w:t>
      </w:r>
    </w:p>
    <w:p w14:paraId="3309B44D">
      <w:pPr>
        <w:pStyle w:val="6"/>
        <w:spacing w:line="480" w:lineRule="exact"/>
        <w:ind w:firstLine="548" w:firstLineChars="196"/>
        <w:rPr>
          <w:rFonts w:asciiTheme="minorEastAsia" w:hAnsiTheme="minorEastAsia" w:cstheme="minorEastAsia"/>
          <w:sz w:val="28"/>
          <w:szCs w:val="28"/>
        </w:rPr>
      </w:pPr>
      <w:r>
        <w:rPr>
          <w:rFonts w:hint="eastAsia" w:asciiTheme="minorEastAsia" w:hAnsiTheme="minorEastAsia" w:cstheme="minorEastAsia"/>
          <w:sz w:val="28"/>
          <w:szCs w:val="28"/>
        </w:rPr>
        <w:t>4.中标</w:t>
      </w:r>
      <w:r>
        <w:rPr>
          <w:rFonts w:hint="eastAsia" w:ascii="宋体" w:hAnsi="宋体" w:eastAsia="宋体"/>
          <w:sz w:val="28"/>
          <w:szCs w:val="28"/>
          <w:lang w:val="en-US" w:eastAsia="zh-CN"/>
        </w:rPr>
        <w:t>供应商</w:t>
      </w:r>
      <w:r>
        <w:rPr>
          <w:rFonts w:hint="eastAsia" w:asciiTheme="minorEastAsia" w:hAnsiTheme="minorEastAsia" w:cstheme="minorEastAsia"/>
          <w:sz w:val="28"/>
          <w:szCs w:val="28"/>
        </w:rPr>
        <w:t>所提供货物必须是本国产品，不接受进口产品的投标（进口产品：通过中国海关验放进入中国境内而且产自境外的产品）。</w:t>
      </w:r>
    </w:p>
    <w:p w14:paraId="4CCA9C9B">
      <w:pPr>
        <w:pStyle w:val="6"/>
        <w:spacing w:line="480" w:lineRule="exact"/>
        <w:ind w:firstLine="548" w:firstLineChars="196"/>
        <w:rPr>
          <w:rFonts w:asciiTheme="minorEastAsia" w:hAnsiTheme="minorEastAsia" w:cstheme="minorEastAsia"/>
          <w:bCs/>
          <w:sz w:val="28"/>
          <w:szCs w:val="28"/>
        </w:rPr>
      </w:pPr>
      <w:r>
        <w:rPr>
          <w:rFonts w:hint="eastAsia" w:asciiTheme="minorEastAsia" w:hAnsiTheme="minorEastAsia" w:cstheme="minorEastAsia"/>
          <w:bCs/>
          <w:sz w:val="28"/>
          <w:szCs w:val="28"/>
        </w:rPr>
        <w:t>5.在家具运输、安装、验收过程的如果发生安全事故的，安全责任全部由中标</w:t>
      </w:r>
      <w:r>
        <w:rPr>
          <w:rFonts w:hint="eastAsia" w:ascii="宋体" w:hAnsi="宋体" w:eastAsia="宋体"/>
          <w:sz w:val="28"/>
          <w:szCs w:val="28"/>
          <w:lang w:val="en-US" w:eastAsia="zh-CN"/>
        </w:rPr>
        <w:t>供应商</w:t>
      </w:r>
      <w:r>
        <w:rPr>
          <w:rFonts w:hint="eastAsia" w:asciiTheme="minorEastAsia" w:hAnsiTheme="minorEastAsia" w:cstheme="minorEastAsia"/>
          <w:bCs/>
          <w:sz w:val="28"/>
          <w:szCs w:val="28"/>
        </w:rPr>
        <w:t>负责，采购人不承担任何责任。</w:t>
      </w:r>
    </w:p>
    <w:p w14:paraId="6C9B8F6D">
      <w:pPr>
        <w:pStyle w:val="6"/>
        <w:spacing w:line="480" w:lineRule="exact"/>
        <w:ind w:firstLine="560" w:firstLineChars="200"/>
        <w:rPr>
          <w:rFonts w:asciiTheme="minorEastAsia" w:hAnsiTheme="minorEastAsia" w:cstheme="minorEastAsia"/>
          <w:b/>
          <w:sz w:val="28"/>
          <w:szCs w:val="28"/>
          <w:highlight w:val="yellow"/>
        </w:rPr>
      </w:pPr>
      <w:r>
        <w:rPr>
          <w:rFonts w:hint="eastAsia" w:asciiTheme="minorEastAsia" w:hAnsiTheme="minorEastAsia" w:cstheme="minorEastAsia"/>
          <w:bCs/>
          <w:sz w:val="28"/>
          <w:szCs w:val="28"/>
        </w:rPr>
        <w:t>6.售后服务要求：</w:t>
      </w:r>
      <w:r>
        <w:rPr>
          <w:rFonts w:hint="eastAsia" w:asciiTheme="minorEastAsia" w:hAnsiTheme="minorEastAsia" w:cstheme="minorEastAsia"/>
          <w:sz w:val="28"/>
          <w:szCs w:val="28"/>
        </w:rPr>
        <w:t>中标</w:t>
      </w:r>
      <w:r>
        <w:rPr>
          <w:rFonts w:hint="eastAsia" w:ascii="宋体" w:hAnsi="宋体" w:eastAsia="宋体"/>
          <w:sz w:val="28"/>
          <w:szCs w:val="28"/>
          <w:lang w:val="en-US" w:eastAsia="zh-CN"/>
        </w:rPr>
        <w:t>供应商</w:t>
      </w:r>
      <w:r>
        <w:rPr>
          <w:rFonts w:hint="eastAsia" w:asciiTheme="minorEastAsia" w:hAnsiTheme="minorEastAsia" w:cstheme="minorEastAsia"/>
          <w:sz w:val="28"/>
          <w:szCs w:val="28"/>
        </w:rPr>
        <w:t>所投报的货物必须提供2年以上的保修期，在保修期内非人为损坏而更换零部件产生的费用包含在投标报价中。</w:t>
      </w:r>
    </w:p>
    <w:p w14:paraId="2D9C02C3">
      <w:pPr>
        <w:spacing w:line="360" w:lineRule="auto"/>
        <w:ind w:firstLine="560" w:firstLineChars="200"/>
        <w:rPr>
          <w:rFonts w:ascii="宋体" w:hAnsi="宋体" w:eastAsia="宋体"/>
          <w:sz w:val="28"/>
          <w:szCs w:val="28"/>
        </w:rPr>
      </w:pPr>
      <w:r>
        <w:rPr>
          <w:rFonts w:hint="eastAsia" w:cs="宋体" w:asciiTheme="minorEastAsia" w:hAnsiTheme="minorEastAsia" w:eastAsiaTheme="minorEastAsia"/>
          <w:bCs/>
          <w:kern w:val="0"/>
          <w:sz w:val="28"/>
          <w:szCs w:val="28"/>
        </w:rPr>
        <w:t>7.</w:t>
      </w:r>
      <w:r>
        <w:rPr>
          <w:rFonts w:hint="eastAsia" w:cs="宋体" w:asciiTheme="minorEastAsia" w:hAnsiTheme="minorEastAsia" w:eastAsiaTheme="minorEastAsia"/>
          <w:bCs/>
          <w:kern w:val="0"/>
          <w:sz w:val="28"/>
          <w:szCs w:val="28"/>
          <w:lang w:val="en-US" w:eastAsia="zh-CN"/>
        </w:rPr>
        <w:t>付款方式</w:t>
      </w:r>
      <w:r>
        <w:rPr>
          <w:rFonts w:hint="eastAsia" w:ascii="宋体" w:hAnsi="宋体" w:eastAsia="宋体"/>
          <w:sz w:val="28"/>
          <w:szCs w:val="28"/>
        </w:rPr>
        <w:t>：按项目采购清单完成全部工作并验收合格后，中标</w:t>
      </w:r>
      <w:r>
        <w:rPr>
          <w:rFonts w:hint="eastAsia" w:ascii="宋体" w:hAnsi="宋体" w:eastAsia="宋体"/>
          <w:sz w:val="28"/>
          <w:szCs w:val="28"/>
          <w:lang w:val="en-US" w:eastAsia="zh-CN"/>
        </w:rPr>
        <w:t>供应商</w:t>
      </w:r>
      <w:r>
        <w:rPr>
          <w:rFonts w:hint="eastAsia" w:ascii="宋体" w:hAnsi="宋体" w:eastAsia="宋体"/>
          <w:sz w:val="28"/>
          <w:szCs w:val="28"/>
        </w:rPr>
        <w:t>在15个工作日内按合同总价的100％开具发票交采购人办理支付手续，待采购人资金到位后支付。</w:t>
      </w:r>
    </w:p>
    <w:p w14:paraId="272EB061">
      <w:pPr>
        <w:spacing w:line="360" w:lineRule="auto"/>
        <w:ind w:firstLine="562" w:firstLineChars="200"/>
        <w:rPr>
          <w:rFonts w:cs="宋体" w:asciiTheme="minorEastAsia" w:hAnsiTheme="minorEastAsia" w:eastAsiaTheme="minorEastAsia"/>
          <w:sz w:val="36"/>
          <w:szCs w:val="36"/>
        </w:rPr>
      </w:pPr>
      <w:r>
        <w:rPr>
          <w:rFonts w:hint="eastAsia" w:ascii="宋体" w:hAnsi="宋体" w:eastAsia="宋体"/>
          <w:b/>
          <w:sz w:val="28"/>
          <w:szCs w:val="28"/>
        </w:rPr>
        <w:t>注：付款时间为采购人向财政支付部门提出支付申请的时间（不含政府财政支付部门和采购人财务部门审查的时间）。</w:t>
      </w:r>
    </w:p>
    <w:p w14:paraId="7FC3D8A5">
      <w:pPr>
        <w:widowControl/>
        <w:jc w:val="left"/>
        <w:rPr>
          <w:rFonts w:cs="宋体" w:asciiTheme="minorEastAsia" w:hAnsiTheme="minorEastAsia" w:eastAsiaTheme="minorEastAsia"/>
          <w:b/>
          <w:bCs/>
          <w:sz w:val="36"/>
          <w:szCs w:val="36"/>
        </w:rPr>
      </w:pPr>
    </w:p>
    <w:p w14:paraId="6A3017DD">
      <w:pPr>
        <w:pStyle w:val="11"/>
        <w:rPr>
          <w:rFonts w:hint="eastAsia" w:cs="宋体" w:asciiTheme="minorEastAsia" w:hAnsiTheme="minorEastAsia" w:eastAsiaTheme="minorEastAsia"/>
          <w:sz w:val="36"/>
          <w:szCs w:val="36"/>
        </w:rPr>
      </w:pPr>
      <w:r>
        <w:rPr>
          <w:rFonts w:hint="eastAsia" w:cs="宋体" w:asciiTheme="minorEastAsia" w:hAnsiTheme="minorEastAsia" w:eastAsiaTheme="minorEastAsia"/>
          <w:sz w:val="36"/>
          <w:szCs w:val="36"/>
        </w:rPr>
        <w:t>第二章 响应文件资料组成及相关要求</w:t>
      </w:r>
    </w:p>
    <w:p w14:paraId="52106076">
      <w:pPr>
        <w:widowControl/>
        <w:spacing w:line="36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1.封面（注明参与投标项目名称、单位、联系人、联系电话、正本或副本等信息）加盖公章，贴在密封袋面和投标文件封面（详见附件1）</w:t>
      </w:r>
    </w:p>
    <w:p w14:paraId="59516D47">
      <w:pPr>
        <w:widowControl/>
        <w:spacing w:line="36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2.投标资质证明文件</w:t>
      </w:r>
    </w:p>
    <w:p w14:paraId="23DA118A">
      <w:pPr>
        <w:widowControl/>
        <w:spacing w:line="36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①投标人资格声明函（详见附件2）</w:t>
      </w:r>
    </w:p>
    <w:p w14:paraId="7FDF9F50">
      <w:pPr>
        <w:widowControl/>
        <w:spacing w:line="36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②无重大违法记录声明函（详见附件3）</w:t>
      </w:r>
    </w:p>
    <w:p w14:paraId="40EFCB81">
      <w:pPr>
        <w:widowControl/>
        <w:spacing w:line="36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③有效的营业执照（或事业法人登记证或身份证等相关证明）复印件</w:t>
      </w:r>
    </w:p>
    <w:p w14:paraId="4A5EEF0D">
      <w:pPr>
        <w:widowControl/>
        <w:spacing w:line="36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④法定代表人（或经营者）身份证复印件</w:t>
      </w:r>
    </w:p>
    <w:p w14:paraId="57B09D5E">
      <w:pPr>
        <w:widowControl/>
        <w:spacing w:line="36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⑤“广东政府采购智慧云平台电子卖场”办公家具定点供应商证明材料（详见附件5）</w:t>
      </w:r>
    </w:p>
    <w:p w14:paraId="3705A1BC">
      <w:pPr>
        <w:widowControl/>
        <w:spacing w:line="36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3.服务承诺书包括供货时效、送货服务、产品质量服务、售后服务等（详见附件4）</w:t>
      </w:r>
    </w:p>
    <w:p w14:paraId="6E1A853B">
      <w:pPr>
        <w:widowControl/>
        <w:spacing w:line="36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4.项目报价表</w:t>
      </w:r>
    </w:p>
    <w:p w14:paraId="0A7623C5">
      <w:pPr>
        <w:widowControl/>
        <w:spacing w:line="36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响应文件所有材料须加盖公章，一正本两副本，三份各自独立密封，在封面显著位置清楚标明“正本”或“副本”字样。如正本和副本内容不一致以正本书面文件为准。A4纸规格，加盖公章，顺序装订。密封文件袋须用封条密封加盖公章。</w:t>
      </w:r>
    </w:p>
    <w:p w14:paraId="7146EF71">
      <w:pPr>
        <w:widowControl/>
        <w:spacing w:line="360" w:lineRule="auto"/>
        <w:ind w:firstLine="470" w:firstLineChars="196"/>
        <w:jc w:val="left"/>
        <w:rPr>
          <w:rFonts w:hint="eastAsia" w:cs="宋体" w:asciiTheme="minorEastAsia" w:hAnsiTheme="minorEastAsia" w:eastAsiaTheme="minorEastAsia"/>
          <w:bCs/>
          <w:color w:val="FF0000"/>
          <w:kern w:val="0"/>
          <w:sz w:val="24"/>
          <w:szCs w:val="24"/>
        </w:rPr>
      </w:pPr>
      <w:r>
        <w:rPr>
          <w:rFonts w:hint="eastAsia" w:cs="宋体" w:asciiTheme="minorEastAsia" w:hAnsiTheme="minorEastAsia" w:eastAsiaTheme="minorEastAsia"/>
          <w:bCs/>
          <w:color w:val="FF0000"/>
          <w:kern w:val="0"/>
          <w:sz w:val="24"/>
          <w:szCs w:val="24"/>
        </w:rPr>
        <w:t>注：投标人可根据项目需求内容添加响应文件资料。</w:t>
      </w:r>
    </w:p>
    <w:p w14:paraId="407DEACE"/>
    <w:p w14:paraId="38D6C802">
      <w:pPr>
        <w:pStyle w:val="11"/>
        <w:jc w:val="both"/>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br w:type="page"/>
      </w:r>
    </w:p>
    <w:p w14:paraId="13A5BE65">
      <w:pPr>
        <w:pStyle w:val="11"/>
        <w:jc w:val="both"/>
        <w:rPr>
          <w:rFonts w:cs="宋体" w:asciiTheme="minorEastAsia" w:hAnsiTheme="minorEastAsia" w:eastAsiaTheme="minorEastAsia"/>
          <w:b w:val="0"/>
          <w:sz w:val="24"/>
          <w:szCs w:val="24"/>
        </w:rPr>
      </w:pPr>
      <w:r>
        <w:rPr>
          <w:rFonts w:hint="eastAsia" w:cs="宋体" w:asciiTheme="minorEastAsia" w:hAnsiTheme="minorEastAsia" w:eastAsiaTheme="minorEastAsia"/>
          <w:b w:val="0"/>
          <w:sz w:val="24"/>
          <w:szCs w:val="24"/>
        </w:rPr>
        <w:t>附件1：</w:t>
      </w:r>
    </w:p>
    <w:p w14:paraId="4312D219">
      <w:pPr>
        <w:pStyle w:val="11"/>
        <w:jc w:val="both"/>
        <w:rPr>
          <w:rFonts w:asciiTheme="minorEastAsia" w:hAnsiTheme="minorEastAsia" w:eastAsiaTheme="minorEastAsia"/>
          <w:sz w:val="44"/>
          <w:szCs w:val="44"/>
        </w:rPr>
      </w:pPr>
      <w:r>
        <w:rPr>
          <w:rFonts w:hint="eastAsia" w:asciiTheme="minorEastAsia" w:hAnsiTheme="minorEastAsia" w:eastAsiaTheme="minorEastAsia"/>
        </w:rPr>
        <w:t>封面：</w:t>
      </w:r>
    </w:p>
    <w:p w14:paraId="1AB0A422">
      <w:pPr>
        <w:spacing w:line="240" w:lineRule="atLeast"/>
        <w:jc w:val="center"/>
        <w:rPr>
          <w:rFonts w:cs="Helvetica" w:asciiTheme="minorEastAsia" w:hAnsiTheme="minorEastAsia" w:eastAsiaTheme="minorEastAsia"/>
          <w:b/>
          <w:color w:val="FF0000"/>
          <w:kern w:val="0"/>
          <w:sz w:val="48"/>
          <w:szCs w:val="48"/>
          <w:u w:val="single"/>
        </w:rPr>
      </w:pPr>
      <w:r>
        <w:rPr>
          <w:rFonts w:hint="eastAsia" w:cs="Helvetica" w:asciiTheme="minorEastAsia" w:hAnsiTheme="minorEastAsia" w:eastAsiaTheme="minorEastAsia"/>
          <w:b/>
          <w:color w:val="000000" w:themeColor="text1"/>
          <w:kern w:val="0"/>
          <w:sz w:val="48"/>
          <w:szCs w:val="48"/>
          <w:u w:val="single"/>
          <w14:textFill>
            <w14:solidFill>
              <w14:schemeClr w14:val="tx1"/>
            </w14:solidFill>
          </w14:textFill>
        </w:rPr>
        <w:t>江门市技师学院</w:t>
      </w:r>
    </w:p>
    <w:p w14:paraId="05A52CB7">
      <w:pPr>
        <w:spacing w:line="240" w:lineRule="atLeast"/>
        <w:jc w:val="center"/>
        <w:rPr>
          <w:rFonts w:hint="eastAsia" w:cs="Helvetica" w:asciiTheme="minorEastAsia" w:hAnsiTheme="minorEastAsia" w:eastAsiaTheme="minorEastAsia"/>
          <w:b/>
          <w:color w:val="000000" w:themeColor="text1"/>
          <w:kern w:val="0"/>
          <w:sz w:val="48"/>
          <w:szCs w:val="48"/>
          <w:u w:val="single"/>
          <w14:textFill>
            <w14:solidFill>
              <w14:schemeClr w14:val="tx1"/>
            </w14:solidFill>
          </w14:textFill>
        </w:rPr>
      </w:pPr>
      <w:r>
        <w:rPr>
          <w:rFonts w:hint="eastAsia" w:cs="Helvetica" w:asciiTheme="minorEastAsia" w:hAnsiTheme="minorEastAsia" w:eastAsiaTheme="minorEastAsia"/>
          <w:b/>
          <w:color w:val="000000" w:themeColor="text1"/>
          <w:kern w:val="0"/>
          <w:sz w:val="48"/>
          <w:szCs w:val="48"/>
          <w:u w:val="single"/>
          <w14:textFill>
            <w14:solidFill>
              <w14:schemeClr w14:val="tx1"/>
            </w14:solidFill>
          </w14:textFill>
        </w:rPr>
        <w:t>“科创一条街”办公家具采购项目</w:t>
      </w:r>
    </w:p>
    <w:p w14:paraId="0FE6DC4A">
      <w:pPr>
        <w:spacing w:line="240" w:lineRule="atLeast"/>
        <w:jc w:val="center"/>
        <w:rPr>
          <w:rFonts w:hint="eastAsia" w:cs="Helvetica" w:asciiTheme="minorEastAsia" w:hAnsiTheme="minorEastAsia" w:eastAsiaTheme="minorEastAsia"/>
          <w:b/>
          <w:color w:val="000000" w:themeColor="text1"/>
          <w:kern w:val="0"/>
          <w:sz w:val="48"/>
          <w:szCs w:val="48"/>
          <w:u w:val="single"/>
          <w14:textFill>
            <w14:solidFill>
              <w14:schemeClr w14:val="tx1"/>
            </w14:solidFill>
          </w14:textFill>
        </w:rPr>
      </w:pPr>
    </w:p>
    <w:p w14:paraId="28DE4CAE">
      <w:pPr>
        <w:spacing w:line="240" w:lineRule="atLeast"/>
        <w:jc w:val="center"/>
        <w:rPr>
          <w:rFonts w:asciiTheme="minorEastAsia" w:hAnsiTheme="minorEastAsia" w:eastAsiaTheme="minorEastAsia"/>
          <w:b/>
          <w:sz w:val="28"/>
          <w:szCs w:val="28"/>
        </w:rPr>
      </w:pPr>
      <w:r>
        <w:rPr>
          <w:rFonts w:hint="eastAsia" w:asciiTheme="minorEastAsia" w:hAnsiTheme="minorEastAsia" w:eastAsiaTheme="minorEastAsia"/>
          <w:b/>
          <w:sz w:val="28"/>
          <w:szCs w:val="28"/>
        </w:rPr>
        <w:t>项目编号：</w:t>
      </w:r>
      <w:r>
        <w:rPr>
          <w:rFonts w:hint="eastAsia" w:asciiTheme="minorEastAsia" w:hAnsiTheme="minorEastAsia" w:eastAsiaTheme="minorEastAsia"/>
          <w:b/>
          <w:sz w:val="28"/>
          <w:szCs w:val="28"/>
          <w:lang w:val="en-US" w:eastAsia="zh-CN"/>
        </w:rPr>
        <w:t>jys-cgzx-2026-34</w:t>
      </w:r>
    </w:p>
    <w:p w14:paraId="2CC3CAAE">
      <w:pPr>
        <w:spacing w:line="240" w:lineRule="atLeast"/>
        <w:jc w:val="center"/>
        <w:rPr>
          <w:rFonts w:asciiTheme="minorEastAsia" w:hAnsiTheme="minorEastAsia" w:eastAsiaTheme="minorEastAsia"/>
          <w:b/>
          <w:color w:val="000000"/>
          <w:sz w:val="44"/>
          <w:szCs w:val="44"/>
        </w:rPr>
      </w:pPr>
    </w:p>
    <w:p w14:paraId="2F1AD02C">
      <w:pPr>
        <w:spacing w:line="240" w:lineRule="atLeast"/>
        <w:jc w:val="center"/>
        <w:rPr>
          <w:rFonts w:asciiTheme="minorEastAsia" w:hAnsiTheme="minorEastAsia" w:eastAsiaTheme="minorEastAsia"/>
          <w:b/>
          <w:bCs/>
          <w:color w:val="000000"/>
          <w:sz w:val="72"/>
          <w:szCs w:val="72"/>
        </w:rPr>
      </w:pPr>
      <w:r>
        <w:rPr>
          <w:rFonts w:hint="eastAsia" w:asciiTheme="minorEastAsia" w:hAnsiTheme="minorEastAsia" w:eastAsiaTheme="minorEastAsia"/>
          <w:b/>
          <w:bCs/>
          <w:color w:val="000000"/>
          <w:sz w:val="72"/>
          <w:szCs w:val="72"/>
        </w:rPr>
        <w:t>响</w:t>
      </w:r>
    </w:p>
    <w:p w14:paraId="47BDF408">
      <w:pPr>
        <w:spacing w:line="240" w:lineRule="atLeast"/>
        <w:jc w:val="center"/>
        <w:rPr>
          <w:rFonts w:asciiTheme="minorEastAsia" w:hAnsiTheme="minorEastAsia" w:eastAsiaTheme="minorEastAsia"/>
          <w:b/>
          <w:bCs/>
          <w:color w:val="000000"/>
          <w:sz w:val="72"/>
          <w:szCs w:val="72"/>
        </w:rPr>
      </w:pPr>
      <w:r>
        <w:rPr>
          <w:rFonts w:hint="eastAsia" w:asciiTheme="minorEastAsia" w:hAnsiTheme="minorEastAsia" w:eastAsiaTheme="minorEastAsia"/>
          <w:b/>
          <w:bCs/>
          <w:color w:val="000000"/>
          <w:sz w:val="72"/>
          <w:szCs w:val="72"/>
        </w:rPr>
        <w:t>应</w:t>
      </w:r>
    </w:p>
    <w:p w14:paraId="146E2C4B">
      <w:pPr>
        <w:spacing w:line="240" w:lineRule="atLeast"/>
        <w:jc w:val="center"/>
        <w:rPr>
          <w:rFonts w:asciiTheme="minorEastAsia" w:hAnsiTheme="minorEastAsia" w:eastAsiaTheme="minorEastAsia"/>
          <w:b/>
          <w:bCs/>
          <w:color w:val="000000"/>
          <w:sz w:val="72"/>
          <w:szCs w:val="72"/>
        </w:rPr>
      </w:pPr>
      <w:r>
        <w:rPr>
          <w:rFonts w:hint="eastAsia" w:asciiTheme="minorEastAsia" w:hAnsiTheme="minorEastAsia" w:eastAsiaTheme="minorEastAsia"/>
          <w:b/>
          <w:bCs/>
          <w:color w:val="000000"/>
          <w:sz w:val="72"/>
          <w:szCs w:val="72"/>
        </w:rPr>
        <w:t>文</w:t>
      </w:r>
    </w:p>
    <w:p w14:paraId="519E6CD4">
      <w:pPr>
        <w:spacing w:line="240" w:lineRule="atLeast"/>
        <w:jc w:val="center"/>
        <w:rPr>
          <w:rFonts w:asciiTheme="minorEastAsia" w:hAnsiTheme="minorEastAsia" w:eastAsiaTheme="minorEastAsia"/>
          <w:color w:val="000000"/>
          <w:sz w:val="72"/>
          <w:szCs w:val="72"/>
        </w:rPr>
      </w:pPr>
      <w:r>
        <w:rPr>
          <w:rFonts w:hint="eastAsia" w:asciiTheme="minorEastAsia" w:hAnsiTheme="minorEastAsia" w:eastAsiaTheme="minorEastAsia"/>
          <w:b/>
          <w:bCs/>
          <w:color w:val="000000"/>
          <w:sz w:val="72"/>
          <w:szCs w:val="72"/>
        </w:rPr>
        <w:t>件</w:t>
      </w:r>
    </w:p>
    <w:p w14:paraId="149CABD7">
      <w:pPr>
        <w:spacing w:line="240" w:lineRule="atLeast"/>
        <w:ind w:firstLine="320" w:firstLineChars="100"/>
        <w:jc w:val="center"/>
        <w:rPr>
          <w:rFonts w:hint="eastAsia" w:asciiTheme="minorEastAsia" w:hAnsiTheme="minorEastAsia" w:eastAsiaTheme="minorEastAsia"/>
          <w:color w:val="FF0000"/>
          <w:sz w:val="32"/>
          <w:szCs w:val="32"/>
        </w:rPr>
      </w:pPr>
      <w:r>
        <w:rPr>
          <w:rFonts w:hint="eastAsia" w:asciiTheme="minorEastAsia" w:hAnsiTheme="minorEastAsia" w:eastAsiaTheme="minorEastAsia"/>
          <w:color w:val="FF0000"/>
          <w:sz w:val="32"/>
          <w:szCs w:val="32"/>
        </w:rPr>
        <w:t>（正本/副本）</w:t>
      </w:r>
    </w:p>
    <w:p w14:paraId="0E8FF0B5">
      <w:pPr>
        <w:spacing w:line="240" w:lineRule="atLeast"/>
        <w:ind w:firstLine="320" w:firstLineChars="100"/>
        <w:jc w:val="center"/>
        <w:rPr>
          <w:rFonts w:asciiTheme="minorEastAsia" w:hAnsiTheme="minorEastAsia" w:eastAsiaTheme="minorEastAsia"/>
          <w:color w:val="000000"/>
          <w:sz w:val="32"/>
          <w:szCs w:val="32"/>
        </w:rPr>
      </w:pPr>
    </w:p>
    <w:p w14:paraId="11FF4F21">
      <w:pPr>
        <w:spacing w:line="360" w:lineRule="auto"/>
        <w:rPr>
          <w:rFonts w:asciiTheme="minorEastAsia" w:hAnsiTheme="minorEastAsia" w:eastAsiaTheme="minorEastAsia"/>
          <w:color w:val="000000"/>
          <w:sz w:val="28"/>
          <w:szCs w:val="28"/>
        </w:rPr>
      </w:pPr>
    </w:p>
    <w:p w14:paraId="1B110463">
      <w:pPr>
        <w:spacing w:line="360" w:lineRule="auto"/>
        <w:ind w:firstLine="1260" w:firstLineChars="450"/>
        <w:jc w:val="left"/>
        <w:rPr>
          <w:rFonts w:asciiTheme="minorEastAsia" w:hAnsiTheme="minorEastAsia" w:eastAsiaTheme="minorEastAsia"/>
          <w:color w:val="000000"/>
          <w:sz w:val="28"/>
        </w:rPr>
      </w:pPr>
      <w:r>
        <w:rPr>
          <w:rFonts w:hint="eastAsia" w:asciiTheme="minorEastAsia" w:hAnsiTheme="minorEastAsia" w:eastAsiaTheme="minorEastAsia"/>
          <w:color w:val="000000"/>
          <w:sz w:val="28"/>
          <w:lang w:val="en-US" w:eastAsia="zh-CN"/>
        </w:rPr>
        <w:t>投标</w:t>
      </w:r>
      <w:r>
        <w:rPr>
          <w:rFonts w:hint="eastAsia" w:asciiTheme="minorEastAsia" w:hAnsiTheme="minorEastAsia" w:eastAsiaTheme="minorEastAsia"/>
          <w:color w:val="000000"/>
          <w:sz w:val="28"/>
        </w:rPr>
        <w:t>人（盖章）：</w:t>
      </w:r>
    </w:p>
    <w:p w14:paraId="0A98D511">
      <w:pPr>
        <w:spacing w:line="360" w:lineRule="auto"/>
        <w:ind w:firstLine="1260" w:firstLineChars="450"/>
        <w:jc w:val="left"/>
        <w:rPr>
          <w:rFonts w:asciiTheme="minorEastAsia" w:hAnsiTheme="minorEastAsia" w:eastAsiaTheme="minorEastAsia"/>
          <w:color w:val="000000"/>
          <w:sz w:val="28"/>
        </w:rPr>
      </w:pPr>
      <w:r>
        <w:rPr>
          <w:rFonts w:hint="eastAsia" w:asciiTheme="minorEastAsia" w:hAnsiTheme="minorEastAsia" w:eastAsiaTheme="minorEastAsia"/>
          <w:color w:val="000000"/>
          <w:sz w:val="28"/>
        </w:rPr>
        <w:t>法定代表人（或经营者）或委托代理人（签字）：</w:t>
      </w:r>
    </w:p>
    <w:p w14:paraId="2AC6C3BA">
      <w:pPr>
        <w:spacing w:line="360" w:lineRule="auto"/>
        <w:ind w:right="0" w:rightChars="0" w:firstLine="1260" w:firstLineChars="450"/>
        <w:jc w:val="left"/>
        <w:rPr>
          <w:rFonts w:asciiTheme="minorEastAsia" w:hAnsiTheme="minorEastAsia" w:eastAsiaTheme="minorEastAsia"/>
          <w:color w:val="000000"/>
          <w:sz w:val="28"/>
        </w:rPr>
      </w:pPr>
      <w:r>
        <w:rPr>
          <w:rFonts w:hint="eastAsia" w:asciiTheme="minorEastAsia" w:hAnsiTheme="minorEastAsia" w:eastAsiaTheme="minorEastAsia"/>
          <w:color w:val="000000"/>
          <w:sz w:val="28"/>
        </w:rPr>
        <w:t>日期：年月日</w:t>
      </w:r>
      <w:r>
        <w:rPr>
          <w:rFonts w:asciiTheme="minorEastAsia" w:hAnsiTheme="minorEastAsia" w:eastAsiaTheme="minorEastAsia"/>
          <w:color w:val="000000"/>
          <w:sz w:val="28"/>
        </w:rPr>
        <w:br w:type="page"/>
      </w:r>
    </w:p>
    <w:p w14:paraId="0BB224E8">
      <w:pPr>
        <w:spacing w:line="240" w:lineRule="atLeast"/>
        <w:ind w:right="-732" w:rightChars="-244"/>
        <w:rPr>
          <w:rFonts w:asciiTheme="minorEastAsia" w:hAnsiTheme="minorEastAsia" w:eastAsiaTheme="minorEastAsia"/>
          <w:color w:val="000000"/>
          <w:sz w:val="28"/>
        </w:rPr>
      </w:pPr>
      <w:r>
        <w:rPr>
          <w:rFonts w:hint="eastAsia" w:asciiTheme="minorEastAsia" w:hAnsiTheme="minorEastAsia" w:eastAsiaTheme="minorEastAsia"/>
          <w:color w:val="000000"/>
          <w:sz w:val="28"/>
        </w:rPr>
        <w:t>封面粘贴要求：按统一格式，完善相关资料后打印贴于档案袋正面</w:t>
      </w:r>
    </w:p>
    <w:p w14:paraId="5200A1C5">
      <w:pPr>
        <w:spacing w:line="240" w:lineRule="atLeast"/>
        <w:ind w:right="-732" w:rightChars="-244"/>
        <w:rPr>
          <w:rFonts w:asciiTheme="minorEastAsia" w:hAnsiTheme="minorEastAsia" w:eastAsiaTheme="minorEastAsia"/>
          <w:color w:val="FF0000"/>
          <w:sz w:val="28"/>
        </w:rPr>
      </w:pPr>
      <w:r>
        <w:rPr>
          <w:rFonts w:hint="eastAsia" w:asciiTheme="minorEastAsia" w:hAnsiTheme="minorEastAsia" w:eastAsiaTheme="minorEastAsia"/>
          <w:color w:val="FF0000"/>
          <w:sz w:val="28"/>
        </w:rPr>
        <w:t>注意：请选择正本或副本，并加盖单位公章。</w:t>
      </w:r>
    </w:p>
    <w:p w14:paraId="1413A6D8">
      <w:pPr>
        <w:spacing w:line="240" w:lineRule="atLeast"/>
        <w:ind w:right="-732" w:rightChars="-244"/>
        <w:rPr>
          <w:rFonts w:asciiTheme="minorEastAsia" w:hAnsiTheme="minorEastAsia" w:eastAsiaTheme="minorEastAsia"/>
          <w:color w:val="000000"/>
          <w:sz w:val="28"/>
        </w:rPr>
      </w:pPr>
      <w:r>
        <w:rPr>
          <w:rFonts w:hint="eastAsia" w:asciiTheme="minorEastAsia" w:hAnsiTheme="minorEastAsia" w:eastAsiaTheme="minorEastAsia"/>
          <w:color w:val="000000"/>
          <w:sz w:val="28"/>
        </w:rPr>
        <w:drawing>
          <wp:inline distT="0" distB="0" distL="0" distR="0">
            <wp:extent cx="6050915" cy="8062595"/>
            <wp:effectExtent l="19050" t="0" r="6985" b="0"/>
            <wp:docPr id="1" name="图片 1" descr="f455d1b4dca9e0af150f2c83ef88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455d1b4dca9e0af150f2c83ef88159"/>
                    <pic:cNvPicPr>
                      <a:picLocks noChangeAspect="1" noChangeArrowheads="1"/>
                    </pic:cNvPicPr>
                  </pic:nvPicPr>
                  <pic:blipFill>
                    <a:blip r:embed="rId10" cstate="print"/>
                    <a:srcRect/>
                    <a:stretch>
                      <a:fillRect/>
                    </a:stretch>
                  </pic:blipFill>
                  <pic:spPr>
                    <a:xfrm>
                      <a:off x="0" y="0"/>
                      <a:ext cx="6050915" cy="8062595"/>
                    </a:xfrm>
                    <a:prstGeom prst="rect">
                      <a:avLst/>
                    </a:prstGeom>
                    <a:noFill/>
                    <a:ln w="9525">
                      <a:noFill/>
                      <a:miter lim="800000"/>
                      <a:headEnd/>
                      <a:tailEnd/>
                    </a:ln>
                  </pic:spPr>
                </pic:pic>
              </a:graphicData>
            </a:graphic>
          </wp:inline>
        </w:drawing>
      </w:r>
    </w:p>
    <w:p w14:paraId="70291045">
      <w:pPr>
        <w:widowControl/>
        <w:jc w:val="left"/>
        <w:rPr>
          <w:rFonts w:asciiTheme="minorEastAsia" w:hAnsiTheme="minorEastAsia" w:eastAsiaTheme="minorEastAsia"/>
          <w:color w:val="000000"/>
          <w:sz w:val="28"/>
          <w:szCs w:val="28"/>
        </w:rPr>
      </w:pPr>
      <w:r>
        <w:rPr>
          <w:rFonts w:asciiTheme="minorEastAsia" w:hAnsiTheme="minorEastAsia" w:eastAsiaTheme="minorEastAsia"/>
          <w:color w:val="000000"/>
          <w:sz w:val="28"/>
          <w:szCs w:val="28"/>
        </w:rPr>
        <w:br w:type="page"/>
      </w:r>
    </w:p>
    <w:p w14:paraId="005609AD">
      <w:pPr>
        <w:spacing w:line="240" w:lineRule="atLeast"/>
        <w:ind w:right="-732" w:rightChars="-244"/>
        <w:rPr>
          <w:rFonts w:asciiTheme="minorEastAsia" w:hAnsiTheme="minorEastAsia" w:eastAsiaTheme="minorEastAsia"/>
          <w:color w:val="000000"/>
          <w:sz w:val="28"/>
          <w:szCs w:val="28"/>
        </w:rPr>
      </w:pPr>
      <w:r>
        <w:rPr>
          <w:rFonts w:hint="eastAsia" w:asciiTheme="minorEastAsia" w:hAnsiTheme="minorEastAsia" w:eastAsiaTheme="minorEastAsia"/>
          <w:color w:val="000000"/>
          <w:sz w:val="28"/>
          <w:szCs w:val="28"/>
        </w:rPr>
        <w:t>封条粘贴要求：密封条须贴在档案袋封口处，盖骑缝公章。</w:t>
      </w:r>
    </w:p>
    <w:p w14:paraId="6BEBDCB4">
      <w:pPr>
        <w:spacing w:line="240" w:lineRule="atLeast"/>
        <w:ind w:right="-732" w:rightChars="-244"/>
        <w:rPr>
          <w:rFonts w:asciiTheme="minorEastAsia" w:hAnsiTheme="minorEastAsia" w:eastAsiaTheme="minorEastAsia"/>
          <w:color w:val="000000"/>
          <w:sz w:val="28"/>
          <w:szCs w:val="28"/>
        </w:rPr>
      </w:pPr>
      <w:r>
        <w:rPr>
          <w:rFonts w:hint="eastAsia" w:asciiTheme="minorEastAsia" w:hAnsiTheme="minorEastAsia" w:eastAsiaTheme="minorEastAsia"/>
          <w:color w:val="000000"/>
          <w:sz w:val="28"/>
          <w:szCs w:val="28"/>
        </w:rPr>
        <w:t>注意：下图仅供参考，密封条粘贴及盖章位置按需处理。</w:t>
      </w:r>
    </w:p>
    <w:p w14:paraId="6FE5B100">
      <w:pPr>
        <w:spacing w:line="240" w:lineRule="atLeast"/>
        <w:ind w:right="-732" w:rightChars="-244"/>
        <w:rPr>
          <w:rFonts w:asciiTheme="minorEastAsia" w:hAnsiTheme="minorEastAsia" w:eastAsiaTheme="minorEastAsia"/>
          <w:b/>
          <w:sz w:val="36"/>
          <w:szCs w:val="36"/>
        </w:rPr>
      </w:pPr>
      <w:r>
        <w:rPr>
          <w:rFonts w:asciiTheme="minorEastAsia" w:hAnsiTheme="minorEastAsia" w:eastAsiaTheme="minorEastAsia"/>
          <w:color w:val="000000"/>
          <w:sz w:val="28"/>
          <w:szCs w:val="28"/>
        </w:rPr>
        <w:drawing>
          <wp:inline distT="0" distB="0" distL="0" distR="0">
            <wp:extent cx="6192520" cy="8448675"/>
            <wp:effectExtent l="19050" t="0" r="0" b="0"/>
            <wp:docPr id="3" name="图片 1" descr="C:\Users\Administrator\Desktop\9e662da01a2e465b8227d67c2c874803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C:\Users\Administrator\Desktop\9e662da01a2e465b8227d67c2c874803_副本.jpg"/>
                    <pic:cNvPicPr>
                      <a:picLocks noChangeAspect="1" noChangeArrowheads="1"/>
                    </pic:cNvPicPr>
                  </pic:nvPicPr>
                  <pic:blipFill>
                    <a:blip r:embed="rId11"/>
                    <a:srcRect/>
                    <a:stretch>
                      <a:fillRect/>
                    </a:stretch>
                  </pic:blipFill>
                  <pic:spPr>
                    <a:xfrm>
                      <a:off x="0" y="0"/>
                      <a:ext cx="6192520" cy="8448805"/>
                    </a:xfrm>
                    <a:prstGeom prst="rect">
                      <a:avLst/>
                    </a:prstGeom>
                    <a:noFill/>
                    <a:ln w="9525">
                      <a:noFill/>
                      <a:miter lim="800000"/>
                      <a:headEnd/>
                      <a:tailEnd/>
                    </a:ln>
                  </pic:spPr>
                </pic:pic>
              </a:graphicData>
            </a:graphic>
          </wp:inline>
        </w:drawing>
      </w:r>
      <w:r>
        <w:rPr>
          <w:rFonts w:asciiTheme="minorEastAsia" w:hAnsiTheme="minorEastAsia" w:eastAsiaTheme="minorEastAsia"/>
          <w:b/>
          <w:sz w:val="36"/>
          <w:szCs w:val="36"/>
        </w:rPr>
        <w:br w:type="page"/>
      </w:r>
    </w:p>
    <w:p w14:paraId="4ED5B8FE">
      <w:pPr>
        <w:widowControl/>
        <w:jc w:val="left"/>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附件2：</w:t>
      </w:r>
    </w:p>
    <w:p w14:paraId="7826D9DD">
      <w:pPr>
        <w:widowControl/>
        <w:jc w:val="center"/>
        <w:rPr>
          <w:rFonts w:hint="eastAsia" w:asciiTheme="minorEastAsia" w:hAnsiTheme="minorEastAsia" w:eastAsiaTheme="minorEastAsia"/>
          <w:b/>
          <w:sz w:val="36"/>
          <w:szCs w:val="36"/>
        </w:rPr>
      </w:pPr>
      <w:r>
        <w:rPr>
          <w:rFonts w:hint="eastAsia" w:asciiTheme="minorEastAsia" w:hAnsiTheme="minorEastAsia" w:eastAsiaTheme="minorEastAsia"/>
          <w:b/>
          <w:sz w:val="36"/>
          <w:szCs w:val="36"/>
        </w:rPr>
        <w:t>投标人资格声明函</w:t>
      </w:r>
    </w:p>
    <w:p w14:paraId="0580DB37">
      <w:pPr>
        <w:widowControl/>
        <w:jc w:val="left"/>
        <w:rPr>
          <w:rFonts w:hint="eastAsia" w:asciiTheme="minorEastAsia" w:hAnsiTheme="minorEastAsia" w:eastAsiaTheme="minorEastAsia"/>
          <w:b/>
          <w:sz w:val="28"/>
          <w:szCs w:val="28"/>
        </w:rPr>
      </w:pPr>
    </w:p>
    <w:p w14:paraId="3B667E0F">
      <w:pPr>
        <w:spacing w:line="480" w:lineRule="auto"/>
        <w:rPr>
          <w:rFonts w:hint="eastAsia" w:asciiTheme="minorEastAsia" w:hAnsiTheme="minorEastAsia" w:eastAsiaTheme="minorEastAsia"/>
          <w:sz w:val="28"/>
          <w:szCs w:val="28"/>
          <w:u w:val="single"/>
        </w:rPr>
      </w:pPr>
      <w:r>
        <w:rPr>
          <w:rFonts w:hint="eastAsia" w:asciiTheme="minorEastAsia" w:hAnsiTheme="minorEastAsia" w:eastAsiaTheme="minorEastAsia"/>
          <w:sz w:val="28"/>
          <w:szCs w:val="28"/>
        </w:rPr>
        <w:t>致：</w:t>
      </w:r>
      <w:r>
        <w:rPr>
          <w:rFonts w:hint="eastAsia" w:asciiTheme="minorEastAsia" w:hAnsiTheme="minorEastAsia" w:eastAsiaTheme="minorEastAsia"/>
          <w:sz w:val="28"/>
          <w:szCs w:val="28"/>
          <w:u w:val="single"/>
        </w:rPr>
        <w:t>江门市技师学院</w:t>
      </w:r>
    </w:p>
    <w:p w14:paraId="65FEDE50">
      <w:pPr>
        <w:widowControl/>
        <w:spacing w:line="480" w:lineRule="auto"/>
        <w:ind w:firstLine="560" w:firstLineChars="20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u w:val="single"/>
        </w:rPr>
        <w:t>（投标人）</w:t>
      </w:r>
      <w:r>
        <w:rPr>
          <w:rFonts w:hint="eastAsia" w:asciiTheme="minorEastAsia" w:hAnsiTheme="minorEastAsia" w:eastAsiaTheme="minorEastAsia"/>
          <w:sz w:val="28"/>
          <w:szCs w:val="28"/>
        </w:rPr>
        <w:t>郑重承诺：我单位在参与投标前已详细研究了本次招标的所有内容，包括澄清、修改文件（如果有）和所有已提供的参考资料以及有关附件，我单位完全明白并认为此招标没有倾向性，也不存在排斥潜在投标人的内容，我单位同意招标文件的相关条款，放弃对招标文件提出误解和质疑的一切权利。</w:t>
      </w:r>
    </w:p>
    <w:p w14:paraId="7DA38D3C">
      <w:pPr>
        <w:widowControl/>
        <w:spacing w:line="480" w:lineRule="auto"/>
        <w:ind w:firstLine="560" w:firstLineChars="20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我单位具备《中华人民共和国政府采购法》第二十二条规定的条件。</w:t>
      </w:r>
    </w:p>
    <w:p w14:paraId="066E1F67">
      <w:pPr>
        <w:widowControl/>
        <w:spacing w:line="480" w:lineRule="auto"/>
        <w:ind w:firstLine="560" w:firstLineChars="20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我单位作为法律、财务和运作上独立于采购人、采购代理机构的投标人，在此保证所提交的所有文件和全部说明是真实的和正确的。</w:t>
      </w:r>
    </w:p>
    <w:p w14:paraId="49B75569">
      <w:pPr>
        <w:widowControl/>
        <w:spacing w:line="480" w:lineRule="auto"/>
        <w:ind w:firstLine="560" w:firstLineChars="20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我单位与其他投标人不存在单位负责人为同一人或者存在直接控股、管理关系。</w:t>
      </w:r>
    </w:p>
    <w:p w14:paraId="19547051">
      <w:pPr>
        <w:spacing w:line="480" w:lineRule="auto"/>
        <w:ind w:firstLine="560" w:firstLineChars="20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如果本承诺与事实不符，我单位愿意无条件承担由此给本项目带来的一切后果(包括经济损失)。</w:t>
      </w:r>
    </w:p>
    <w:p w14:paraId="57659EBA">
      <w:pPr>
        <w:spacing w:line="480" w:lineRule="auto"/>
        <w:rPr>
          <w:rFonts w:hint="eastAsia" w:asciiTheme="minorEastAsia" w:hAnsiTheme="minorEastAsia" w:eastAsiaTheme="minorEastAsia"/>
          <w:sz w:val="28"/>
          <w:szCs w:val="28"/>
        </w:rPr>
      </w:pPr>
    </w:p>
    <w:p w14:paraId="70873476">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投标人名称：</w:t>
      </w:r>
      <w:r>
        <w:rPr>
          <w:rFonts w:hint="eastAsia" w:asciiTheme="minorEastAsia" w:hAnsiTheme="minorEastAsia" w:eastAsiaTheme="minorEastAsia"/>
          <w:sz w:val="28"/>
          <w:szCs w:val="28"/>
          <w:u w:val="single"/>
        </w:rPr>
        <w:t>（全称、盖章）</w:t>
      </w:r>
      <w:r>
        <w:rPr>
          <w:rFonts w:asciiTheme="minorEastAsia" w:hAnsiTheme="minorEastAsia" w:eastAsiaTheme="minorEastAsia"/>
          <w:sz w:val="28"/>
          <w:szCs w:val="28"/>
          <w:u w:val="single"/>
        </w:rPr>
        <w:t>  </w:t>
      </w:r>
    </w:p>
    <w:p w14:paraId="0DF48C7B">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color w:val="000000"/>
          <w:sz w:val="28"/>
        </w:rPr>
        <w:t>法定代表人（或经营者）</w:t>
      </w:r>
      <w:r>
        <w:rPr>
          <w:rFonts w:hint="eastAsia" w:asciiTheme="minorEastAsia" w:hAnsiTheme="minorEastAsia" w:eastAsiaTheme="minorEastAsia"/>
          <w:sz w:val="28"/>
          <w:szCs w:val="28"/>
        </w:rPr>
        <w:t>或授权代表：</w:t>
      </w:r>
      <w:r>
        <w:rPr>
          <w:rFonts w:hint="eastAsia" w:asciiTheme="minorEastAsia" w:hAnsiTheme="minorEastAsia" w:eastAsiaTheme="minorEastAsia"/>
          <w:sz w:val="28"/>
          <w:szCs w:val="28"/>
          <w:u w:val="single"/>
        </w:rPr>
        <w:t>（签字）</w:t>
      </w:r>
      <w:r>
        <w:rPr>
          <w:rFonts w:asciiTheme="minorEastAsia" w:hAnsiTheme="minorEastAsia" w:eastAsiaTheme="minorEastAsia"/>
          <w:sz w:val="28"/>
          <w:szCs w:val="28"/>
          <w:u w:val="single"/>
        </w:rPr>
        <w:t>  </w:t>
      </w:r>
    </w:p>
    <w:p w14:paraId="1CBC1DE1">
      <w:pPr>
        <w:spacing w:line="480" w:lineRule="auto"/>
        <w:ind w:firstLine="560" w:firstLineChars="200"/>
        <w:rPr>
          <w:rFonts w:asciiTheme="minorEastAsia" w:hAnsiTheme="minorEastAsia" w:eastAsiaTheme="minorEastAsia"/>
          <w:b/>
          <w:sz w:val="36"/>
          <w:szCs w:val="36"/>
        </w:rPr>
      </w:pPr>
      <w:r>
        <w:rPr>
          <w:rFonts w:hint="eastAsia" w:asciiTheme="minorEastAsia" w:hAnsiTheme="minorEastAsia" w:eastAsiaTheme="minorEastAsia"/>
          <w:sz w:val="28"/>
          <w:szCs w:val="28"/>
        </w:rPr>
        <w:t>日期：</w:t>
      </w:r>
      <w:r>
        <w:rPr>
          <w:rFonts w:hint="eastAsia" w:asciiTheme="minorEastAsia" w:hAnsiTheme="minorEastAsia" w:eastAsiaTheme="minorEastAsia"/>
          <w:sz w:val="28"/>
          <w:szCs w:val="28"/>
          <w:u w:val="single"/>
        </w:rPr>
        <w:t>　　年　　月　　日　</w:t>
      </w:r>
      <w:r>
        <w:rPr>
          <w:rFonts w:asciiTheme="minorEastAsia" w:hAnsiTheme="minorEastAsia" w:eastAsiaTheme="minorEastAsia"/>
          <w:b/>
          <w:sz w:val="28"/>
          <w:szCs w:val="28"/>
        </w:rPr>
        <w:br w:type="page"/>
      </w:r>
    </w:p>
    <w:p w14:paraId="07ACC981">
      <w:pPr>
        <w:widowControl/>
        <w:jc w:val="left"/>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附件3：</w:t>
      </w:r>
    </w:p>
    <w:p w14:paraId="0ABB0327">
      <w:pPr>
        <w:jc w:val="center"/>
        <w:rPr>
          <w:rFonts w:hint="eastAsia" w:asciiTheme="minorEastAsia" w:hAnsiTheme="minorEastAsia" w:eastAsiaTheme="minorEastAsia"/>
          <w:b/>
          <w:sz w:val="36"/>
          <w:szCs w:val="36"/>
        </w:rPr>
      </w:pPr>
      <w:r>
        <w:rPr>
          <w:rFonts w:hint="eastAsia" w:asciiTheme="minorEastAsia" w:hAnsiTheme="minorEastAsia" w:eastAsiaTheme="minorEastAsia"/>
          <w:b/>
          <w:sz w:val="36"/>
          <w:szCs w:val="36"/>
        </w:rPr>
        <w:t>无重大违法记录声明函</w:t>
      </w:r>
    </w:p>
    <w:p w14:paraId="4374A5DE">
      <w:pPr>
        <w:tabs>
          <w:tab w:val="left" w:pos="3952"/>
        </w:tabs>
        <w:rPr>
          <w:rFonts w:hint="eastAsia" w:asciiTheme="minorEastAsia" w:hAnsiTheme="minorEastAsia" w:eastAsiaTheme="minorEastAsia"/>
          <w:sz w:val="24"/>
        </w:rPr>
      </w:pPr>
    </w:p>
    <w:p w14:paraId="6D0C000D">
      <w:pPr>
        <w:spacing w:line="480" w:lineRule="auto"/>
        <w:rPr>
          <w:rFonts w:hint="eastAsia" w:asciiTheme="minorEastAsia" w:hAnsiTheme="minorEastAsia" w:eastAsiaTheme="minorEastAsia"/>
          <w:sz w:val="28"/>
          <w:szCs w:val="28"/>
          <w:u w:val="single"/>
        </w:rPr>
      </w:pPr>
      <w:r>
        <w:rPr>
          <w:rFonts w:hint="eastAsia" w:asciiTheme="minorEastAsia" w:hAnsiTheme="minorEastAsia" w:eastAsiaTheme="minorEastAsia"/>
          <w:sz w:val="28"/>
          <w:szCs w:val="28"/>
        </w:rPr>
        <w:t>致：</w:t>
      </w:r>
      <w:r>
        <w:rPr>
          <w:rFonts w:hint="eastAsia" w:asciiTheme="minorEastAsia" w:hAnsiTheme="minorEastAsia" w:eastAsiaTheme="minorEastAsia"/>
          <w:sz w:val="28"/>
          <w:szCs w:val="28"/>
          <w:u w:val="single"/>
        </w:rPr>
        <w:t>江门市技师学院</w:t>
      </w:r>
    </w:p>
    <w:p w14:paraId="006ADABA">
      <w:pPr>
        <w:spacing w:line="480" w:lineRule="auto"/>
        <w:ind w:firstLine="560" w:firstLineChars="20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u w:val="single"/>
        </w:rPr>
        <w:t>（投标人）</w:t>
      </w:r>
      <w:r>
        <w:rPr>
          <w:rFonts w:hint="eastAsia" w:asciiTheme="minorEastAsia" w:hAnsiTheme="minorEastAsia" w:eastAsiaTheme="minorEastAsia"/>
          <w:sz w:val="28"/>
          <w:szCs w:val="28"/>
        </w:rPr>
        <w:t>郑重承诺：我单位在参加政府采购活动前三年内在经营活动中没有重大违法记录（包括因违法经营受到刑事处罚或者责令停产停业、吊销许可证或者执照、较大数额罚款等行政处罚），无政府采购严重违法失信行为。</w:t>
      </w:r>
    </w:p>
    <w:p w14:paraId="1E55C98B">
      <w:pPr>
        <w:spacing w:line="480" w:lineRule="auto"/>
        <w:ind w:firstLine="560" w:firstLineChars="20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如果本承诺与事实不符，我单位愿意无条件承担由此给本项目带来的一切后果(包括经济损失)。</w:t>
      </w:r>
    </w:p>
    <w:p w14:paraId="5C21A745">
      <w:pPr>
        <w:spacing w:line="480" w:lineRule="auto"/>
        <w:rPr>
          <w:rFonts w:hint="eastAsia" w:asciiTheme="minorEastAsia" w:hAnsiTheme="minorEastAsia" w:eastAsiaTheme="minorEastAsia"/>
          <w:sz w:val="28"/>
          <w:szCs w:val="28"/>
        </w:rPr>
      </w:pPr>
    </w:p>
    <w:p w14:paraId="121AFC3D">
      <w:pPr>
        <w:spacing w:line="480" w:lineRule="auto"/>
        <w:rPr>
          <w:rFonts w:hint="eastAsia" w:asciiTheme="minorEastAsia" w:hAnsiTheme="minorEastAsia" w:eastAsiaTheme="minorEastAsia"/>
          <w:sz w:val="28"/>
          <w:szCs w:val="28"/>
        </w:rPr>
      </w:pPr>
    </w:p>
    <w:p w14:paraId="304B7D30">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投标人名称：</w:t>
      </w:r>
      <w:r>
        <w:rPr>
          <w:rFonts w:hint="eastAsia" w:asciiTheme="minorEastAsia" w:hAnsiTheme="minorEastAsia" w:eastAsiaTheme="minorEastAsia"/>
          <w:sz w:val="28"/>
          <w:szCs w:val="28"/>
          <w:u w:val="single"/>
        </w:rPr>
        <w:t>（全称、盖章）</w:t>
      </w:r>
      <w:r>
        <w:rPr>
          <w:rFonts w:asciiTheme="minorEastAsia" w:hAnsiTheme="minorEastAsia" w:eastAsiaTheme="minorEastAsia"/>
          <w:sz w:val="28"/>
          <w:szCs w:val="28"/>
          <w:u w:val="single"/>
        </w:rPr>
        <w:t>  </w:t>
      </w:r>
    </w:p>
    <w:p w14:paraId="5B0E69C9">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color w:val="000000"/>
          <w:sz w:val="28"/>
        </w:rPr>
        <w:t>法定代表人（或经营者）</w:t>
      </w:r>
      <w:r>
        <w:rPr>
          <w:rFonts w:hint="eastAsia" w:asciiTheme="minorEastAsia" w:hAnsiTheme="minorEastAsia" w:eastAsiaTheme="minorEastAsia"/>
          <w:sz w:val="28"/>
          <w:szCs w:val="28"/>
        </w:rPr>
        <w:t>或授权代表：</w:t>
      </w:r>
      <w:r>
        <w:rPr>
          <w:rFonts w:hint="eastAsia" w:asciiTheme="minorEastAsia" w:hAnsiTheme="minorEastAsia" w:eastAsiaTheme="minorEastAsia"/>
          <w:sz w:val="28"/>
          <w:szCs w:val="28"/>
          <w:u w:val="single"/>
        </w:rPr>
        <w:t>（签字）</w:t>
      </w:r>
      <w:r>
        <w:rPr>
          <w:rFonts w:asciiTheme="minorEastAsia" w:hAnsiTheme="minorEastAsia" w:eastAsiaTheme="minorEastAsia"/>
          <w:sz w:val="28"/>
          <w:szCs w:val="28"/>
          <w:u w:val="single"/>
        </w:rPr>
        <w:t>  </w:t>
      </w:r>
    </w:p>
    <w:p w14:paraId="52FD2B92">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日期：</w:t>
      </w:r>
      <w:r>
        <w:rPr>
          <w:rFonts w:hint="eastAsia" w:asciiTheme="minorEastAsia" w:hAnsiTheme="minorEastAsia" w:eastAsiaTheme="minorEastAsia"/>
          <w:sz w:val="28"/>
          <w:szCs w:val="28"/>
          <w:u w:val="single"/>
        </w:rPr>
        <w:t>　　年　　月　　日　</w:t>
      </w:r>
    </w:p>
    <w:p w14:paraId="0DB2F074">
      <w:pPr>
        <w:rPr>
          <w:rFonts w:asciiTheme="minorEastAsia" w:hAnsiTheme="minorEastAsia" w:eastAsiaTheme="minorEastAsia"/>
        </w:rPr>
      </w:pPr>
    </w:p>
    <w:p w14:paraId="5F6B4D0B">
      <w:pPr>
        <w:widowControl/>
        <w:jc w:val="left"/>
        <w:rPr>
          <w:rFonts w:asciiTheme="minorEastAsia" w:hAnsiTheme="minorEastAsia" w:eastAsiaTheme="minorEastAsia"/>
          <w:b/>
          <w:bCs/>
          <w:sz w:val="32"/>
          <w:szCs w:val="32"/>
        </w:rPr>
      </w:pPr>
      <w:r>
        <w:rPr>
          <w:rFonts w:asciiTheme="minorEastAsia" w:hAnsiTheme="minorEastAsia" w:eastAsiaTheme="minorEastAsia"/>
        </w:rPr>
        <w:br w:type="page"/>
      </w:r>
    </w:p>
    <w:p w14:paraId="7C540600">
      <w:pPr>
        <w:widowControl/>
        <w:jc w:val="left"/>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附件4：</w:t>
      </w:r>
    </w:p>
    <w:p w14:paraId="3E7727D5">
      <w:pPr>
        <w:jc w:val="center"/>
        <w:rPr>
          <w:rFonts w:hint="eastAsia" w:asciiTheme="minorEastAsia" w:hAnsiTheme="minorEastAsia" w:eastAsiaTheme="minorEastAsia"/>
          <w:b/>
          <w:sz w:val="36"/>
          <w:szCs w:val="36"/>
        </w:rPr>
      </w:pPr>
      <w:r>
        <w:rPr>
          <w:rFonts w:hint="eastAsia" w:asciiTheme="minorEastAsia" w:hAnsiTheme="minorEastAsia" w:eastAsiaTheme="minorEastAsia"/>
          <w:b/>
          <w:sz w:val="36"/>
          <w:szCs w:val="36"/>
        </w:rPr>
        <w:t>服务承诺书</w:t>
      </w:r>
    </w:p>
    <w:p w14:paraId="7C3FFDB4">
      <w:pPr>
        <w:rPr>
          <w:rFonts w:hint="eastAsia" w:asciiTheme="minorEastAsia" w:hAnsiTheme="minorEastAsia" w:eastAsiaTheme="minorEastAsia"/>
        </w:rPr>
      </w:pPr>
    </w:p>
    <w:p w14:paraId="3DF4CEBD">
      <w:pPr>
        <w:spacing w:line="480" w:lineRule="auto"/>
        <w:rPr>
          <w:rFonts w:hint="eastAsia" w:asciiTheme="minorEastAsia" w:hAnsiTheme="minorEastAsia" w:eastAsiaTheme="minorEastAsia"/>
          <w:sz w:val="28"/>
          <w:szCs w:val="28"/>
          <w:u w:val="single"/>
        </w:rPr>
      </w:pPr>
      <w:r>
        <w:rPr>
          <w:rFonts w:hint="eastAsia" w:asciiTheme="minorEastAsia" w:hAnsiTheme="minorEastAsia" w:eastAsiaTheme="minorEastAsia"/>
          <w:sz w:val="28"/>
          <w:szCs w:val="28"/>
        </w:rPr>
        <w:t>致：</w:t>
      </w:r>
      <w:r>
        <w:rPr>
          <w:rFonts w:hint="eastAsia" w:asciiTheme="minorEastAsia" w:hAnsiTheme="minorEastAsia" w:eastAsiaTheme="minorEastAsia"/>
          <w:sz w:val="28"/>
          <w:szCs w:val="28"/>
          <w:u w:val="single"/>
        </w:rPr>
        <w:t>江门市技师学院</w:t>
      </w:r>
    </w:p>
    <w:p w14:paraId="73ABF54F">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对于__________________项目（项目编号：__________________），我单位郑重承诺如中标/成交，我单位严格落实项目需求以下条款：(建议逐条复制项目需求相关条款原文)</w:t>
      </w:r>
    </w:p>
    <w:p w14:paraId="26EED0EF">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1.</w:t>
      </w:r>
    </w:p>
    <w:p w14:paraId="32D236C5">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2.</w:t>
      </w:r>
    </w:p>
    <w:p w14:paraId="458BE428">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3.</w:t>
      </w:r>
    </w:p>
    <w:p w14:paraId="22BC9C0A">
      <w:pPr>
        <w:spacing w:line="480" w:lineRule="auto"/>
        <w:ind w:firstLine="560" w:firstLineChars="200"/>
        <w:rPr>
          <w:rFonts w:hint="eastAsia" w:asciiTheme="minorEastAsia" w:hAnsiTheme="minorEastAsia" w:eastAsiaTheme="minorEastAsia"/>
          <w:sz w:val="28"/>
          <w:szCs w:val="28"/>
        </w:rPr>
      </w:pPr>
      <w:r>
        <w:rPr>
          <w:rFonts w:asciiTheme="minorEastAsia" w:hAnsiTheme="minorEastAsia" w:eastAsiaTheme="minorEastAsia"/>
          <w:sz w:val="28"/>
          <w:szCs w:val="28"/>
        </w:rPr>
        <w:t>.........</w:t>
      </w:r>
    </w:p>
    <w:p w14:paraId="38BAE661">
      <w:pPr>
        <w:pStyle w:val="11"/>
        <w:jc w:val="both"/>
        <w:rPr>
          <w:rFonts w:hint="eastAsia" w:asciiTheme="minorEastAsia" w:hAnsiTheme="minorEastAsia" w:eastAsiaTheme="minorEastAsia"/>
          <w:b w:val="0"/>
          <w:bCs w:val="0"/>
          <w:sz w:val="30"/>
          <w:szCs w:val="20"/>
        </w:rPr>
      </w:pPr>
      <w:r>
        <w:rPr>
          <w:rFonts w:hint="eastAsia" w:asciiTheme="minorEastAsia" w:hAnsiTheme="minorEastAsia" w:eastAsiaTheme="minorEastAsia"/>
          <w:b w:val="0"/>
          <w:bCs w:val="0"/>
          <w:sz w:val="30"/>
          <w:szCs w:val="20"/>
        </w:rPr>
        <w:t>特此承诺。</w:t>
      </w:r>
    </w:p>
    <w:p w14:paraId="7524DA4C">
      <w:pPr>
        <w:pStyle w:val="11"/>
        <w:jc w:val="both"/>
        <w:rPr>
          <w:rFonts w:hint="eastAsia" w:asciiTheme="minorEastAsia" w:hAnsiTheme="minorEastAsia" w:eastAsiaTheme="minorEastAsia"/>
          <w:b w:val="0"/>
          <w:bCs w:val="0"/>
          <w:sz w:val="30"/>
          <w:szCs w:val="20"/>
        </w:rPr>
      </w:pPr>
    </w:p>
    <w:p w14:paraId="21D78541">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投标人名称：</w:t>
      </w:r>
      <w:r>
        <w:rPr>
          <w:rFonts w:hint="eastAsia" w:asciiTheme="minorEastAsia" w:hAnsiTheme="minorEastAsia" w:eastAsiaTheme="minorEastAsia"/>
          <w:sz w:val="28"/>
          <w:szCs w:val="28"/>
          <w:u w:val="single"/>
        </w:rPr>
        <w:t>（全称、盖章）</w:t>
      </w:r>
      <w:r>
        <w:rPr>
          <w:rFonts w:hint="eastAsia" w:ascii="MS Mincho" w:hAnsi="MS Mincho" w:eastAsia="MS Mincho" w:cs="MS Mincho"/>
          <w:sz w:val="28"/>
          <w:szCs w:val="28"/>
          <w:u w:val="single"/>
        </w:rPr>
        <w:t>  </w:t>
      </w:r>
    </w:p>
    <w:p w14:paraId="641FDAF7">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color w:val="000000"/>
          <w:sz w:val="28"/>
        </w:rPr>
        <w:t>法定代表人（或经营者）</w:t>
      </w:r>
      <w:r>
        <w:rPr>
          <w:rFonts w:hint="eastAsia" w:asciiTheme="minorEastAsia" w:hAnsiTheme="minorEastAsia" w:eastAsiaTheme="minorEastAsia"/>
          <w:sz w:val="28"/>
          <w:szCs w:val="28"/>
        </w:rPr>
        <w:t>或授权代表：</w:t>
      </w:r>
      <w:r>
        <w:rPr>
          <w:rFonts w:hint="eastAsia" w:asciiTheme="minorEastAsia" w:hAnsiTheme="minorEastAsia" w:eastAsiaTheme="minorEastAsia"/>
          <w:sz w:val="28"/>
          <w:szCs w:val="28"/>
          <w:u w:val="single"/>
        </w:rPr>
        <w:t>（签字）</w:t>
      </w:r>
      <w:r>
        <w:rPr>
          <w:rFonts w:hint="eastAsia" w:ascii="MS Mincho" w:hAnsi="MS Mincho" w:eastAsia="MS Mincho" w:cs="MS Mincho"/>
          <w:sz w:val="28"/>
          <w:szCs w:val="28"/>
          <w:u w:val="single"/>
        </w:rPr>
        <w:t>  </w:t>
      </w:r>
    </w:p>
    <w:p w14:paraId="35201318">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日期：</w:t>
      </w:r>
      <w:r>
        <w:rPr>
          <w:rFonts w:hint="eastAsia" w:asciiTheme="minorEastAsia" w:hAnsiTheme="minorEastAsia" w:eastAsiaTheme="minorEastAsia"/>
          <w:sz w:val="28"/>
          <w:szCs w:val="28"/>
          <w:u w:val="single"/>
        </w:rPr>
        <w:t>　　年　　月　　日　</w:t>
      </w:r>
    </w:p>
    <w:p w14:paraId="61E5D0B8">
      <w:pPr>
        <w:pStyle w:val="11"/>
        <w:jc w:val="both"/>
        <w:rPr>
          <w:rFonts w:asciiTheme="minorEastAsia" w:hAnsiTheme="minorEastAsia" w:eastAsiaTheme="minorEastAsia"/>
          <w:b w:val="0"/>
          <w:bCs w:val="0"/>
          <w:sz w:val="30"/>
          <w:szCs w:val="20"/>
        </w:rPr>
      </w:pPr>
    </w:p>
    <w:p w14:paraId="0455F780"/>
    <w:p w14:paraId="5241EAA7"/>
    <w:p w14:paraId="58658914"/>
    <w:p w14:paraId="29592E7C"/>
    <w:p w14:paraId="2708E66E"/>
    <w:p w14:paraId="31F83497">
      <w:pPr>
        <w:widowControl/>
        <w:jc w:val="left"/>
        <w:rPr>
          <w:rFonts w:asciiTheme="minorEastAsia" w:hAnsiTheme="minorEastAsia" w:eastAsiaTheme="minorEastAsia"/>
          <w:sz w:val="24"/>
          <w:szCs w:val="24"/>
        </w:rPr>
      </w:pPr>
    </w:p>
    <w:p w14:paraId="64A24032">
      <w:pPr>
        <w:widowControl/>
        <w:jc w:val="left"/>
        <w:rPr>
          <w:rFonts w:asciiTheme="minorEastAsia" w:hAnsiTheme="minorEastAsia" w:eastAsiaTheme="minorEastAsia"/>
          <w:sz w:val="24"/>
          <w:szCs w:val="24"/>
        </w:rPr>
      </w:pPr>
    </w:p>
    <w:p w14:paraId="325299FC">
      <w:pPr>
        <w:widowControl/>
        <w:jc w:val="left"/>
        <w:rPr>
          <w:rFonts w:asciiTheme="minorEastAsia" w:hAnsiTheme="minorEastAsia" w:eastAsiaTheme="minorEastAsia"/>
          <w:sz w:val="24"/>
          <w:szCs w:val="24"/>
        </w:rPr>
      </w:pPr>
    </w:p>
    <w:p w14:paraId="551BC48B">
      <w:pPr>
        <w:widowControl/>
        <w:jc w:val="left"/>
        <w:rPr>
          <w:rFonts w:asciiTheme="minorEastAsia" w:hAnsiTheme="minorEastAsia" w:eastAsiaTheme="minorEastAsia"/>
          <w:sz w:val="24"/>
          <w:szCs w:val="24"/>
        </w:rPr>
      </w:pPr>
      <w:r>
        <w:rPr>
          <w:rFonts w:hint="eastAsia" w:asciiTheme="minorEastAsia" w:hAnsiTheme="minorEastAsia" w:eastAsiaTheme="minorEastAsia"/>
          <w:sz w:val="24"/>
          <w:szCs w:val="24"/>
        </w:rPr>
        <w:t>附件5</w:t>
      </w:r>
    </w:p>
    <w:p w14:paraId="21F1024C">
      <w:pPr>
        <w:widowControl/>
        <w:jc w:val="left"/>
        <w:rPr>
          <w:rFonts w:asciiTheme="minorEastAsia" w:hAnsiTheme="minorEastAsia" w:eastAsiaTheme="minorEastAsia"/>
          <w:sz w:val="24"/>
          <w:szCs w:val="24"/>
        </w:rPr>
      </w:pPr>
    </w:p>
    <w:p w14:paraId="56DE04C4">
      <w:pPr>
        <w:widowControl/>
        <w:jc w:val="center"/>
        <w:rPr>
          <w:rFonts w:asciiTheme="minorEastAsia" w:hAnsiTheme="minorEastAsia" w:eastAsiaTheme="minorEastAsia"/>
          <w:b/>
          <w:sz w:val="32"/>
          <w:szCs w:val="32"/>
        </w:rPr>
      </w:pPr>
      <w:r>
        <w:rPr>
          <w:rFonts w:hint="eastAsia" w:cs="宋体" w:asciiTheme="minorEastAsia" w:hAnsiTheme="minorEastAsia" w:eastAsiaTheme="minorEastAsia"/>
          <w:b/>
          <w:kern w:val="0"/>
          <w:sz w:val="32"/>
          <w:szCs w:val="32"/>
        </w:rPr>
        <w:t>办公家具（定制化服务）（类别代码A</w:t>
      </w:r>
      <w:r>
        <w:rPr>
          <w:rFonts w:cs="宋体" w:asciiTheme="minorEastAsia" w:hAnsiTheme="minorEastAsia" w:eastAsiaTheme="minorEastAsia"/>
          <w:b/>
          <w:kern w:val="0"/>
          <w:sz w:val="32"/>
          <w:szCs w:val="32"/>
        </w:rPr>
        <w:t>0</w:t>
      </w:r>
      <w:r>
        <w:rPr>
          <w:rFonts w:hint="eastAsia" w:cs="宋体" w:asciiTheme="minorEastAsia" w:hAnsiTheme="minorEastAsia" w:eastAsiaTheme="minorEastAsia"/>
          <w:b/>
          <w:kern w:val="0"/>
          <w:sz w:val="32"/>
          <w:szCs w:val="32"/>
        </w:rPr>
        <w:t>5</w:t>
      </w:r>
      <w:r>
        <w:rPr>
          <w:rFonts w:cs="宋体" w:asciiTheme="minorEastAsia" w:hAnsiTheme="minorEastAsia" w:eastAsiaTheme="minorEastAsia"/>
          <w:b/>
          <w:kern w:val="0"/>
          <w:sz w:val="32"/>
          <w:szCs w:val="32"/>
        </w:rPr>
        <w:t>0</w:t>
      </w:r>
      <w:r>
        <w:rPr>
          <w:rFonts w:hint="eastAsia" w:cs="宋体" w:asciiTheme="minorEastAsia" w:hAnsiTheme="minorEastAsia" w:eastAsiaTheme="minorEastAsia"/>
          <w:b/>
          <w:kern w:val="0"/>
          <w:sz w:val="32"/>
          <w:szCs w:val="32"/>
          <w:lang w:val="en-US" w:eastAsia="zh-CN"/>
        </w:rPr>
        <w:t>1</w:t>
      </w:r>
      <w:r>
        <w:rPr>
          <w:rFonts w:cs="宋体" w:asciiTheme="minorEastAsia" w:hAnsiTheme="minorEastAsia" w:eastAsiaTheme="minorEastAsia"/>
          <w:b/>
          <w:kern w:val="0"/>
          <w:sz w:val="32"/>
          <w:szCs w:val="32"/>
        </w:rPr>
        <w:t>0000</w:t>
      </w:r>
      <w:r>
        <w:rPr>
          <w:rFonts w:hint="eastAsia" w:cs="宋体" w:asciiTheme="minorEastAsia" w:hAnsiTheme="minorEastAsia" w:eastAsiaTheme="minorEastAsia"/>
          <w:b/>
          <w:kern w:val="0"/>
          <w:sz w:val="32"/>
          <w:szCs w:val="32"/>
        </w:rPr>
        <w:t>）的定点供应商</w:t>
      </w:r>
    </w:p>
    <w:p w14:paraId="32536A9C">
      <w:pPr>
        <w:widowControl/>
        <w:jc w:val="left"/>
        <w:rPr>
          <w:rFonts w:asciiTheme="minorEastAsia" w:hAnsiTheme="minorEastAsia" w:eastAsiaTheme="minorEastAsia"/>
          <w:sz w:val="24"/>
          <w:szCs w:val="24"/>
        </w:rPr>
      </w:pPr>
      <w:r>
        <w:rPr>
          <w:rFonts w:asciiTheme="minorEastAsia" w:hAnsiTheme="minorEastAsia" w:eastAsiaTheme="minorEastAsia"/>
          <w:sz w:val="24"/>
          <w:szCs w:val="24"/>
        </w:rPr>
        <w:drawing>
          <wp:inline distT="0" distB="0" distL="114300" distR="114300">
            <wp:extent cx="6188075" cy="2144395"/>
            <wp:effectExtent l="0" t="0" r="3175" b="8255"/>
            <wp:docPr id="6" name="图片 6" descr="29cc5f5bb22d6e0371a27725147e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29cc5f5bb22d6e0371a27725147e022"/>
                    <pic:cNvPicPr>
                      <a:picLocks noChangeAspect="1"/>
                    </pic:cNvPicPr>
                  </pic:nvPicPr>
                  <pic:blipFill>
                    <a:blip r:embed="rId12"/>
                    <a:stretch>
                      <a:fillRect/>
                    </a:stretch>
                  </pic:blipFill>
                  <pic:spPr>
                    <a:xfrm>
                      <a:off x="0" y="0"/>
                      <a:ext cx="6188075" cy="2144395"/>
                    </a:xfrm>
                    <a:prstGeom prst="rect">
                      <a:avLst/>
                    </a:prstGeom>
                  </pic:spPr>
                </pic:pic>
              </a:graphicData>
            </a:graphic>
          </wp:inline>
        </w:drawing>
      </w:r>
    </w:p>
    <w:sectPr>
      <w:pgSz w:w="11906" w:h="16838"/>
      <w:pgMar w:top="1077" w:right="1077" w:bottom="1077" w:left="1077" w:header="851" w:footer="992" w:gutter="0"/>
      <w:cols w:space="425" w:num="1"/>
      <w:docGrid w:type="lines" w:linePitch="40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Helvetica">
    <w:altName w:val="Arial"/>
    <w:panose1 w:val="020B0604020202020204"/>
    <w:charset w:val="00"/>
    <w:family w:val="swiss"/>
    <w:pitch w:val="default"/>
    <w:sig w:usb0="00000000" w:usb1="00000000" w:usb2="00000000" w:usb3="00000000" w:csb0="00000001" w:csb1="00000000"/>
  </w:font>
  <w:font w:name="MS Mincho">
    <w:altName w:val="Yu Gothic UI"/>
    <w:panose1 w:val="02020609040205080304"/>
    <w:charset w:val="80"/>
    <w:family w:val="modern"/>
    <w:pitch w:val="default"/>
    <w:sig w:usb0="00000000" w:usb1="00000000" w:usb2="00000012" w:usb3="00000000" w:csb0="0002009F" w:csb1="00000000"/>
  </w:font>
  <w:font w:name="Yu Gothic UI">
    <w:panose1 w:val="020B0500000000000000"/>
    <w:charset w:val="80"/>
    <w:family w:val="auto"/>
    <w:pitch w:val="default"/>
    <w:sig w:usb0="E00002FF" w:usb1="2AC7FDFF" w:usb2="00000016" w:usb3="00000000" w:csb0="2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420"/>
  <w:drawingGridHorizontalSpacing w:val="150"/>
  <w:drawingGridVerticalSpacing w:val="204"/>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kzZGJmNWVjODY5NzZjMWJlMmE1ZjY1MzVmNzA0MGMifQ=="/>
  </w:docVars>
  <w:rsids>
    <w:rsidRoot w:val="00DB26D3"/>
    <w:rsid w:val="00010A42"/>
    <w:rsid w:val="00015248"/>
    <w:rsid w:val="0002541C"/>
    <w:rsid w:val="00025F74"/>
    <w:rsid w:val="00030AFB"/>
    <w:rsid w:val="00054AE8"/>
    <w:rsid w:val="000560E4"/>
    <w:rsid w:val="00057FCF"/>
    <w:rsid w:val="000616E7"/>
    <w:rsid w:val="0006419E"/>
    <w:rsid w:val="0006530A"/>
    <w:rsid w:val="00065C07"/>
    <w:rsid w:val="000661A1"/>
    <w:rsid w:val="00076414"/>
    <w:rsid w:val="000841DE"/>
    <w:rsid w:val="00096A11"/>
    <w:rsid w:val="000B17E1"/>
    <w:rsid w:val="000B2EF5"/>
    <w:rsid w:val="000C1FF9"/>
    <w:rsid w:val="000C49CF"/>
    <w:rsid w:val="000C60E9"/>
    <w:rsid w:val="000D2953"/>
    <w:rsid w:val="000E2B32"/>
    <w:rsid w:val="000E3FAD"/>
    <w:rsid w:val="000E4278"/>
    <w:rsid w:val="000F48DF"/>
    <w:rsid w:val="000F63D2"/>
    <w:rsid w:val="00100048"/>
    <w:rsid w:val="001038BA"/>
    <w:rsid w:val="001043A0"/>
    <w:rsid w:val="001072FB"/>
    <w:rsid w:val="00115863"/>
    <w:rsid w:val="00117FD7"/>
    <w:rsid w:val="001423F2"/>
    <w:rsid w:val="001479E1"/>
    <w:rsid w:val="001509F5"/>
    <w:rsid w:val="001524FF"/>
    <w:rsid w:val="00156622"/>
    <w:rsid w:val="00164153"/>
    <w:rsid w:val="00164DEC"/>
    <w:rsid w:val="00165283"/>
    <w:rsid w:val="00175ABB"/>
    <w:rsid w:val="00186BEA"/>
    <w:rsid w:val="0019108D"/>
    <w:rsid w:val="001A1955"/>
    <w:rsid w:val="001B2603"/>
    <w:rsid w:val="001B6F70"/>
    <w:rsid w:val="001B7692"/>
    <w:rsid w:val="001C0B0A"/>
    <w:rsid w:val="001C6D96"/>
    <w:rsid w:val="001D5722"/>
    <w:rsid w:val="001E4817"/>
    <w:rsid w:val="001F0622"/>
    <w:rsid w:val="002013B7"/>
    <w:rsid w:val="00210A66"/>
    <w:rsid w:val="00215B61"/>
    <w:rsid w:val="00234015"/>
    <w:rsid w:val="002470F5"/>
    <w:rsid w:val="00247830"/>
    <w:rsid w:val="00247E43"/>
    <w:rsid w:val="0025014B"/>
    <w:rsid w:val="00252047"/>
    <w:rsid w:val="00254B63"/>
    <w:rsid w:val="0026214B"/>
    <w:rsid w:val="0026500B"/>
    <w:rsid w:val="00265979"/>
    <w:rsid w:val="002808D2"/>
    <w:rsid w:val="002827A0"/>
    <w:rsid w:val="00293695"/>
    <w:rsid w:val="002A316C"/>
    <w:rsid w:val="002A5B55"/>
    <w:rsid w:val="002B2219"/>
    <w:rsid w:val="002C048F"/>
    <w:rsid w:val="002C328E"/>
    <w:rsid w:val="002C5512"/>
    <w:rsid w:val="002D4F62"/>
    <w:rsid w:val="002D6887"/>
    <w:rsid w:val="002D71B0"/>
    <w:rsid w:val="002E6F37"/>
    <w:rsid w:val="002F19F5"/>
    <w:rsid w:val="002F2585"/>
    <w:rsid w:val="002F40F9"/>
    <w:rsid w:val="00311254"/>
    <w:rsid w:val="00315758"/>
    <w:rsid w:val="00315C59"/>
    <w:rsid w:val="003230E6"/>
    <w:rsid w:val="00323D96"/>
    <w:rsid w:val="003249DC"/>
    <w:rsid w:val="00324D75"/>
    <w:rsid w:val="00325F80"/>
    <w:rsid w:val="00326E3D"/>
    <w:rsid w:val="00332EAA"/>
    <w:rsid w:val="00337CEF"/>
    <w:rsid w:val="00357BB4"/>
    <w:rsid w:val="003620DB"/>
    <w:rsid w:val="0036596C"/>
    <w:rsid w:val="00374EB0"/>
    <w:rsid w:val="0039383A"/>
    <w:rsid w:val="003A1BB2"/>
    <w:rsid w:val="003A4FAA"/>
    <w:rsid w:val="003B2E73"/>
    <w:rsid w:val="003C115C"/>
    <w:rsid w:val="003C6FA4"/>
    <w:rsid w:val="003D0E85"/>
    <w:rsid w:val="003F371D"/>
    <w:rsid w:val="003F5E38"/>
    <w:rsid w:val="003F6536"/>
    <w:rsid w:val="004028EA"/>
    <w:rsid w:val="004072EB"/>
    <w:rsid w:val="0041433C"/>
    <w:rsid w:val="00414888"/>
    <w:rsid w:val="00415910"/>
    <w:rsid w:val="00416FB1"/>
    <w:rsid w:val="00425C9C"/>
    <w:rsid w:val="00426D72"/>
    <w:rsid w:val="00442147"/>
    <w:rsid w:val="00445E62"/>
    <w:rsid w:val="00474E90"/>
    <w:rsid w:val="00485684"/>
    <w:rsid w:val="004A422B"/>
    <w:rsid w:val="004A6383"/>
    <w:rsid w:val="004B2C2D"/>
    <w:rsid w:val="004B7974"/>
    <w:rsid w:val="004C2127"/>
    <w:rsid w:val="004C7405"/>
    <w:rsid w:val="004D27DB"/>
    <w:rsid w:val="004E3164"/>
    <w:rsid w:val="004E6C54"/>
    <w:rsid w:val="004F75D6"/>
    <w:rsid w:val="00510360"/>
    <w:rsid w:val="005141DE"/>
    <w:rsid w:val="00522248"/>
    <w:rsid w:val="00525C1F"/>
    <w:rsid w:val="005271BD"/>
    <w:rsid w:val="00527316"/>
    <w:rsid w:val="00532BBD"/>
    <w:rsid w:val="00537BE5"/>
    <w:rsid w:val="0054645F"/>
    <w:rsid w:val="005465FC"/>
    <w:rsid w:val="005550AA"/>
    <w:rsid w:val="005642C1"/>
    <w:rsid w:val="0056775F"/>
    <w:rsid w:val="005721D6"/>
    <w:rsid w:val="00572778"/>
    <w:rsid w:val="0057742C"/>
    <w:rsid w:val="00591BCC"/>
    <w:rsid w:val="005955A8"/>
    <w:rsid w:val="005A71C4"/>
    <w:rsid w:val="005B04DC"/>
    <w:rsid w:val="005B1DC7"/>
    <w:rsid w:val="005B3F4C"/>
    <w:rsid w:val="005B4E00"/>
    <w:rsid w:val="005C2914"/>
    <w:rsid w:val="005C43FE"/>
    <w:rsid w:val="005D4066"/>
    <w:rsid w:val="005E43A2"/>
    <w:rsid w:val="005F4E37"/>
    <w:rsid w:val="00607D4E"/>
    <w:rsid w:val="00612FE4"/>
    <w:rsid w:val="00623AB2"/>
    <w:rsid w:val="00626F10"/>
    <w:rsid w:val="00633E8A"/>
    <w:rsid w:val="00634CD2"/>
    <w:rsid w:val="00647274"/>
    <w:rsid w:val="00656251"/>
    <w:rsid w:val="00661FAC"/>
    <w:rsid w:val="0066246C"/>
    <w:rsid w:val="00663CAA"/>
    <w:rsid w:val="0066524B"/>
    <w:rsid w:val="00665C87"/>
    <w:rsid w:val="00672E68"/>
    <w:rsid w:val="00674B0C"/>
    <w:rsid w:val="00677EDB"/>
    <w:rsid w:val="006846F1"/>
    <w:rsid w:val="00685423"/>
    <w:rsid w:val="00692568"/>
    <w:rsid w:val="006A6C40"/>
    <w:rsid w:val="006C0DF3"/>
    <w:rsid w:val="006C2538"/>
    <w:rsid w:val="006C733E"/>
    <w:rsid w:val="006D7408"/>
    <w:rsid w:val="00707F0C"/>
    <w:rsid w:val="00711C55"/>
    <w:rsid w:val="007261C1"/>
    <w:rsid w:val="007267E6"/>
    <w:rsid w:val="0073026A"/>
    <w:rsid w:val="00746054"/>
    <w:rsid w:val="007545AF"/>
    <w:rsid w:val="00754698"/>
    <w:rsid w:val="0076406E"/>
    <w:rsid w:val="007669D3"/>
    <w:rsid w:val="007764AD"/>
    <w:rsid w:val="007765B5"/>
    <w:rsid w:val="00784201"/>
    <w:rsid w:val="00785C93"/>
    <w:rsid w:val="0079269A"/>
    <w:rsid w:val="00793B14"/>
    <w:rsid w:val="00797597"/>
    <w:rsid w:val="007B09A6"/>
    <w:rsid w:val="007B3F71"/>
    <w:rsid w:val="007C22DA"/>
    <w:rsid w:val="007D2E71"/>
    <w:rsid w:val="007D3C1B"/>
    <w:rsid w:val="007D5D6B"/>
    <w:rsid w:val="007E70EC"/>
    <w:rsid w:val="007F089F"/>
    <w:rsid w:val="007F5576"/>
    <w:rsid w:val="007F5EF5"/>
    <w:rsid w:val="0080157A"/>
    <w:rsid w:val="008033FD"/>
    <w:rsid w:val="00806533"/>
    <w:rsid w:val="00814B4C"/>
    <w:rsid w:val="00815AA2"/>
    <w:rsid w:val="00847044"/>
    <w:rsid w:val="00852AA1"/>
    <w:rsid w:val="008554B7"/>
    <w:rsid w:val="0085704C"/>
    <w:rsid w:val="00866FC5"/>
    <w:rsid w:val="00871918"/>
    <w:rsid w:val="00874A20"/>
    <w:rsid w:val="00880064"/>
    <w:rsid w:val="00882FC8"/>
    <w:rsid w:val="00896EB6"/>
    <w:rsid w:val="00897CAE"/>
    <w:rsid w:val="008A20BB"/>
    <w:rsid w:val="008A5149"/>
    <w:rsid w:val="008B3A61"/>
    <w:rsid w:val="008B60E9"/>
    <w:rsid w:val="008C04F4"/>
    <w:rsid w:val="008C379D"/>
    <w:rsid w:val="008C6CEF"/>
    <w:rsid w:val="008D6EDE"/>
    <w:rsid w:val="008E4D2E"/>
    <w:rsid w:val="008E5E75"/>
    <w:rsid w:val="008E7EFD"/>
    <w:rsid w:val="008F5291"/>
    <w:rsid w:val="008F5394"/>
    <w:rsid w:val="009340D8"/>
    <w:rsid w:val="00941757"/>
    <w:rsid w:val="009420B4"/>
    <w:rsid w:val="0095041E"/>
    <w:rsid w:val="00954EC3"/>
    <w:rsid w:val="00957892"/>
    <w:rsid w:val="00963702"/>
    <w:rsid w:val="0096405F"/>
    <w:rsid w:val="00976F65"/>
    <w:rsid w:val="00981D79"/>
    <w:rsid w:val="009A2D57"/>
    <w:rsid w:val="009A3702"/>
    <w:rsid w:val="009A6AF1"/>
    <w:rsid w:val="009B4ACC"/>
    <w:rsid w:val="009C33B0"/>
    <w:rsid w:val="009C61D3"/>
    <w:rsid w:val="009E6296"/>
    <w:rsid w:val="009E77A8"/>
    <w:rsid w:val="009F238E"/>
    <w:rsid w:val="009F4789"/>
    <w:rsid w:val="009F5CE2"/>
    <w:rsid w:val="00A06FDC"/>
    <w:rsid w:val="00A10B96"/>
    <w:rsid w:val="00A114FB"/>
    <w:rsid w:val="00A146C1"/>
    <w:rsid w:val="00A16864"/>
    <w:rsid w:val="00A23B5C"/>
    <w:rsid w:val="00A2739E"/>
    <w:rsid w:val="00A35103"/>
    <w:rsid w:val="00A4438C"/>
    <w:rsid w:val="00A63E97"/>
    <w:rsid w:val="00A749C6"/>
    <w:rsid w:val="00A74F93"/>
    <w:rsid w:val="00A81938"/>
    <w:rsid w:val="00A863B1"/>
    <w:rsid w:val="00AA5C02"/>
    <w:rsid w:val="00AB233D"/>
    <w:rsid w:val="00AB3D4F"/>
    <w:rsid w:val="00AB7FCD"/>
    <w:rsid w:val="00AC622A"/>
    <w:rsid w:val="00AD1ED8"/>
    <w:rsid w:val="00AD5731"/>
    <w:rsid w:val="00AE20BF"/>
    <w:rsid w:val="00B06D2D"/>
    <w:rsid w:val="00B14DED"/>
    <w:rsid w:val="00B24050"/>
    <w:rsid w:val="00B25ECE"/>
    <w:rsid w:val="00B3556A"/>
    <w:rsid w:val="00B47254"/>
    <w:rsid w:val="00B633FF"/>
    <w:rsid w:val="00B75907"/>
    <w:rsid w:val="00B87395"/>
    <w:rsid w:val="00B947E4"/>
    <w:rsid w:val="00B9775D"/>
    <w:rsid w:val="00BA1E47"/>
    <w:rsid w:val="00BB0339"/>
    <w:rsid w:val="00BB08A2"/>
    <w:rsid w:val="00BC2BBF"/>
    <w:rsid w:val="00BC450B"/>
    <w:rsid w:val="00BE627B"/>
    <w:rsid w:val="00C128D1"/>
    <w:rsid w:val="00C26C0C"/>
    <w:rsid w:val="00C318F9"/>
    <w:rsid w:val="00C32309"/>
    <w:rsid w:val="00C324C1"/>
    <w:rsid w:val="00C34133"/>
    <w:rsid w:val="00C45186"/>
    <w:rsid w:val="00C52A1A"/>
    <w:rsid w:val="00C60782"/>
    <w:rsid w:val="00C72282"/>
    <w:rsid w:val="00C86E91"/>
    <w:rsid w:val="00C874E9"/>
    <w:rsid w:val="00C87C35"/>
    <w:rsid w:val="00C90CA1"/>
    <w:rsid w:val="00C940F3"/>
    <w:rsid w:val="00CA00EE"/>
    <w:rsid w:val="00CA6C3F"/>
    <w:rsid w:val="00CB2076"/>
    <w:rsid w:val="00CB4FEE"/>
    <w:rsid w:val="00CD02F3"/>
    <w:rsid w:val="00CD2908"/>
    <w:rsid w:val="00CD4255"/>
    <w:rsid w:val="00CD532E"/>
    <w:rsid w:val="00CD6CFE"/>
    <w:rsid w:val="00CE75EF"/>
    <w:rsid w:val="00CF1255"/>
    <w:rsid w:val="00CF1ECC"/>
    <w:rsid w:val="00CF6789"/>
    <w:rsid w:val="00D0689F"/>
    <w:rsid w:val="00D10B68"/>
    <w:rsid w:val="00D35B00"/>
    <w:rsid w:val="00D378F4"/>
    <w:rsid w:val="00D403D5"/>
    <w:rsid w:val="00D4141A"/>
    <w:rsid w:val="00D4273C"/>
    <w:rsid w:val="00D4637C"/>
    <w:rsid w:val="00D57072"/>
    <w:rsid w:val="00D63113"/>
    <w:rsid w:val="00D72B4C"/>
    <w:rsid w:val="00D8162C"/>
    <w:rsid w:val="00D830C7"/>
    <w:rsid w:val="00D84785"/>
    <w:rsid w:val="00D92EE7"/>
    <w:rsid w:val="00DA163E"/>
    <w:rsid w:val="00DA216E"/>
    <w:rsid w:val="00DA4758"/>
    <w:rsid w:val="00DA53F1"/>
    <w:rsid w:val="00DA5556"/>
    <w:rsid w:val="00DB110F"/>
    <w:rsid w:val="00DB26D3"/>
    <w:rsid w:val="00DB6331"/>
    <w:rsid w:val="00DB7D35"/>
    <w:rsid w:val="00DC0F61"/>
    <w:rsid w:val="00DC587F"/>
    <w:rsid w:val="00DC6146"/>
    <w:rsid w:val="00DE25BF"/>
    <w:rsid w:val="00DE26B3"/>
    <w:rsid w:val="00DE4F8C"/>
    <w:rsid w:val="00DF5FC3"/>
    <w:rsid w:val="00E00798"/>
    <w:rsid w:val="00E17137"/>
    <w:rsid w:val="00E352EC"/>
    <w:rsid w:val="00E40157"/>
    <w:rsid w:val="00E45085"/>
    <w:rsid w:val="00E46FE3"/>
    <w:rsid w:val="00E5441E"/>
    <w:rsid w:val="00E632F8"/>
    <w:rsid w:val="00E75851"/>
    <w:rsid w:val="00E83DD9"/>
    <w:rsid w:val="00E86442"/>
    <w:rsid w:val="00E86A14"/>
    <w:rsid w:val="00E943EC"/>
    <w:rsid w:val="00EA2209"/>
    <w:rsid w:val="00EA359B"/>
    <w:rsid w:val="00EB5D23"/>
    <w:rsid w:val="00EB71D4"/>
    <w:rsid w:val="00EB7259"/>
    <w:rsid w:val="00EC77D6"/>
    <w:rsid w:val="00ED0693"/>
    <w:rsid w:val="00ED0A64"/>
    <w:rsid w:val="00ED11D2"/>
    <w:rsid w:val="00ED2285"/>
    <w:rsid w:val="00EE2F9C"/>
    <w:rsid w:val="00EE4E23"/>
    <w:rsid w:val="00EF5DA5"/>
    <w:rsid w:val="00F15A75"/>
    <w:rsid w:val="00F36D06"/>
    <w:rsid w:val="00F374A9"/>
    <w:rsid w:val="00F74B66"/>
    <w:rsid w:val="00F755DF"/>
    <w:rsid w:val="00F827C0"/>
    <w:rsid w:val="00F82F18"/>
    <w:rsid w:val="00F87540"/>
    <w:rsid w:val="00F919FE"/>
    <w:rsid w:val="00FA03D0"/>
    <w:rsid w:val="00FB7815"/>
    <w:rsid w:val="00FC0C71"/>
    <w:rsid w:val="00FC1E1C"/>
    <w:rsid w:val="00FD0439"/>
    <w:rsid w:val="00FD74BD"/>
    <w:rsid w:val="00FE2A59"/>
    <w:rsid w:val="02873DFA"/>
    <w:rsid w:val="05AD28EC"/>
    <w:rsid w:val="0ABE1FBB"/>
    <w:rsid w:val="0BCC722C"/>
    <w:rsid w:val="0F8120BC"/>
    <w:rsid w:val="10CF4611"/>
    <w:rsid w:val="1606156C"/>
    <w:rsid w:val="18DE5BE9"/>
    <w:rsid w:val="20C32263"/>
    <w:rsid w:val="222D10F0"/>
    <w:rsid w:val="23900A68"/>
    <w:rsid w:val="25033D4B"/>
    <w:rsid w:val="2C0306A9"/>
    <w:rsid w:val="34DD3574"/>
    <w:rsid w:val="35A47211"/>
    <w:rsid w:val="363517ED"/>
    <w:rsid w:val="3CB7407F"/>
    <w:rsid w:val="3CFC1B66"/>
    <w:rsid w:val="41652D3C"/>
    <w:rsid w:val="421A108F"/>
    <w:rsid w:val="496923C3"/>
    <w:rsid w:val="4B745ECD"/>
    <w:rsid w:val="4FE94417"/>
    <w:rsid w:val="52195BA8"/>
    <w:rsid w:val="5259398B"/>
    <w:rsid w:val="5AC97A40"/>
    <w:rsid w:val="5DF73A74"/>
    <w:rsid w:val="63B65F1F"/>
    <w:rsid w:val="68193A36"/>
    <w:rsid w:val="6CAB08A2"/>
    <w:rsid w:val="71A31C23"/>
    <w:rsid w:val="7C6B1080"/>
    <w:rsid w:val="7DBD632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0"/>
      <w:lang w:val="en-US" w:eastAsia="zh-CN" w:bidi="ar-SA"/>
    </w:rPr>
  </w:style>
  <w:style w:type="paragraph" w:styleId="2">
    <w:name w:val="heading 3"/>
    <w:basedOn w:val="1"/>
    <w:next w:val="1"/>
    <w:link w:val="26"/>
    <w:semiHidden/>
    <w:unhideWhenUsed/>
    <w:qFormat/>
    <w:uiPriority w:val="9"/>
    <w:pPr>
      <w:keepNext/>
      <w:keepLines/>
      <w:spacing w:before="260" w:after="260" w:line="416" w:lineRule="auto"/>
      <w:outlineLvl w:val="2"/>
    </w:pPr>
    <w:rPr>
      <w:b/>
      <w:bCs/>
      <w:sz w:val="32"/>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31"/>
    <w:semiHidden/>
    <w:unhideWhenUsed/>
    <w:qFormat/>
    <w:uiPriority w:val="99"/>
    <w:pPr>
      <w:spacing w:after="120"/>
    </w:pPr>
  </w:style>
  <w:style w:type="paragraph" w:styleId="4">
    <w:name w:val="Body Text Indent"/>
    <w:basedOn w:val="1"/>
    <w:link w:val="29"/>
    <w:semiHidden/>
    <w:unhideWhenUsed/>
    <w:qFormat/>
    <w:uiPriority w:val="99"/>
    <w:pPr>
      <w:spacing w:after="120"/>
      <w:ind w:left="420" w:leftChars="200"/>
    </w:pPr>
  </w:style>
  <w:style w:type="paragraph" w:styleId="5">
    <w:name w:val="toc 3"/>
    <w:basedOn w:val="1"/>
    <w:next w:val="1"/>
    <w:qFormat/>
    <w:uiPriority w:val="39"/>
    <w:pPr>
      <w:tabs>
        <w:tab w:val="left" w:pos="720"/>
        <w:tab w:val="left" w:pos="1155"/>
        <w:tab w:val="right" w:leader="dot" w:pos="9351"/>
      </w:tabs>
      <w:spacing w:line="400" w:lineRule="exact"/>
      <w:ind w:left="180"/>
      <w:jc w:val="left"/>
    </w:pPr>
    <w:rPr>
      <w:rFonts w:ascii="宋体" w:hAnsi="宋体" w:eastAsia="宋体"/>
      <w:bCs/>
      <w:sz w:val="24"/>
      <w:szCs w:val="24"/>
    </w:rPr>
  </w:style>
  <w:style w:type="paragraph" w:styleId="6">
    <w:name w:val="Plain Text"/>
    <w:basedOn w:val="1"/>
    <w:link w:val="16"/>
    <w:qFormat/>
    <w:uiPriority w:val="0"/>
    <w:rPr>
      <w:rFonts w:ascii="宋体" w:hAnsi="Courier New" w:eastAsia="宋体" w:cstheme="minorBidi"/>
      <w:sz w:val="21"/>
      <w:szCs w:val="22"/>
    </w:rPr>
  </w:style>
  <w:style w:type="paragraph" w:styleId="7">
    <w:name w:val="Balloon Text"/>
    <w:basedOn w:val="1"/>
    <w:link w:val="27"/>
    <w:semiHidden/>
    <w:unhideWhenUsed/>
    <w:qFormat/>
    <w:uiPriority w:val="99"/>
    <w:rPr>
      <w:sz w:val="18"/>
      <w:szCs w:val="18"/>
    </w:rPr>
  </w:style>
  <w:style w:type="paragraph" w:styleId="8">
    <w:name w:val="footer"/>
    <w:basedOn w:val="1"/>
    <w:link w:val="20"/>
    <w:unhideWhenUsed/>
    <w:qFormat/>
    <w:uiPriority w:val="0"/>
    <w:pPr>
      <w:tabs>
        <w:tab w:val="center" w:pos="4153"/>
        <w:tab w:val="right" w:pos="8306"/>
      </w:tabs>
      <w:snapToGrid w:val="0"/>
      <w:jc w:val="left"/>
    </w:pPr>
    <w:rPr>
      <w:sz w:val="18"/>
      <w:szCs w:val="18"/>
    </w:rPr>
  </w:style>
  <w:style w:type="paragraph" w:styleId="9">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99"/>
    <w:pPr>
      <w:widowControl/>
      <w:spacing w:after="150"/>
      <w:jc w:val="left"/>
    </w:pPr>
    <w:rPr>
      <w:rFonts w:ascii="宋体" w:hAnsi="宋体" w:eastAsia="宋体" w:cs="宋体"/>
      <w:kern w:val="0"/>
      <w:sz w:val="24"/>
      <w:szCs w:val="24"/>
    </w:rPr>
  </w:style>
  <w:style w:type="paragraph" w:styleId="11">
    <w:name w:val="Title"/>
    <w:basedOn w:val="1"/>
    <w:next w:val="1"/>
    <w:link w:val="25"/>
    <w:qFormat/>
    <w:uiPriority w:val="0"/>
    <w:pPr>
      <w:spacing w:before="240" w:after="60"/>
      <w:jc w:val="center"/>
      <w:outlineLvl w:val="0"/>
    </w:pPr>
    <w:rPr>
      <w:rFonts w:ascii="Cambria" w:hAnsi="Cambria" w:eastAsia="宋体"/>
      <w:b/>
      <w:bCs/>
      <w:sz w:val="32"/>
      <w:szCs w:val="32"/>
    </w:rPr>
  </w:style>
  <w:style w:type="paragraph" w:styleId="12">
    <w:name w:val="Body Text First Indent 2"/>
    <w:basedOn w:val="4"/>
    <w:link w:val="30"/>
    <w:qFormat/>
    <w:uiPriority w:val="0"/>
    <w:pPr>
      <w:autoSpaceDE w:val="0"/>
      <w:autoSpaceDN w:val="0"/>
      <w:adjustRightInd w:val="0"/>
      <w:spacing w:after="0" w:line="480" w:lineRule="exact"/>
      <w:ind w:left="850" w:leftChars="0" w:firstLine="420" w:firstLineChars="200"/>
      <w:textAlignment w:val="baseline"/>
    </w:pPr>
    <w:rPr>
      <w:rFonts w:ascii="仿宋_GB2312"/>
      <w:kern w:val="0"/>
      <w:sz w:val="28"/>
    </w:rPr>
  </w:style>
  <w:style w:type="table" w:styleId="14">
    <w:name w:val="Table Grid"/>
    <w:basedOn w:val="13"/>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6">
    <w:name w:val="纯文本 Char"/>
    <w:link w:val="6"/>
    <w:qFormat/>
    <w:uiPriority w:val="0"/>
    <w:rPr>
      <w:rFonts w:ascii="宋体" w:hAnsi="Courier New" w:eastAsia="宋体"/>
    </w:rPr>
  </w:style>
  <w:style w:type="paragraph" w:customStyle="1" w:styleId="17">
    <w:name w:val="Blockquote"/>
    <w:basedOn w:val="1"/>
    <w:qFormat/>
    <w:uiPriority w:val="0"/>
    <w:pPr>
      <w:autoSpaceDE w:val="0"/>
      <w:autoSpaceDN w:val="0"/>
      <w:adjustRightInd w:val="0"/>
      <w:spacing w:before="100" w:after="100"/>
      <w:ind w:left="360" w:right="360"/>
      <w:jc w:val="left"/>
    </w:pPr>
    <w:rPr>
      <w:rFonts w:ascii="宋体" w:eastAsia="宋体"/>
      <w:kern w:val="0"/>
      <w:sz w:val="24"/>
    </w:rPr>
  </w:style>
  <w:style w:type="character" w:customStyle="1" w:styleId="18">
    <w:name w:val="纯文本 Char1"/>
    <w:basedOn w:val="15"/>
    <w:qFormat/>
    <w:uiPriority w:val="0"/>
    <w:rPr>
      <w:rFonts w:ascii="宋体" w:hAnsi="Courier New" w:eastAsia="宋体" w:cs="Courier New"/>
      <w:szCs w:val="21"/>
    </w:rPr>
  </w:style>
  <w:style w:type="character" w:customStyle="1" w:styleId="19">
    <w:name w:val="页眉 Char"/>
    <w:basedOn w:val="15"/>
    <w:link w:val="9"/>
    <w:qFormat/>
    <w:uiPriority w:val="99"/>
    <w:rPr>
      <w:rFonts w:ascii="Times New Roman" w:hAnsi="Times New Roman" w:eastAsia="仿宋_GB2312" w:cs="Times New Roman"/>
      <w:sz w:val="18"/>
      <w:szCs w:val="18"/>
    </w:rPr>
  </w:style>
  <w:style w:type="character" w:customStyle="1" w:styleId="20">
    <w:name w:val="页脚 Char"/>
    <w:basedOn w:val="15"/>
    <w:link w:val="8"/>
    <w:qFormat/>
    <w:uiPriority w:val="0"/>
    <w:rPr>
      <w:rFonts w:ascii="Times New Roman" w:hAnsi="Times New Roman" w:eastAsia="仿宋_GB2312" w:cs="Times New Roman"/>
      <w:sz w:val="18"/>
      <w:szCs w:val="18"/>
    </w:rPr>
  </w:style>
  <w:style w:type="paragraph" w:styleId="21">
    <w:name w:val="List Paragraph"/>
    <w:basedOn w:val="1"/>
    <w:link w:val="22"/>
    <w:unhideWhenUsed/>
    <w:qFormat/>
    <w:uiPriority w:val="34"/>
    <w:pPr>
      <w:ind w:firstLine="420" w:firstLineChars="200"/>
    </w:pPr>
    <w:rPr>
      <w:rFonts w:ascii="Calibri" w:hAnsi="Calibri" w:eastAsia="宋体"/>
      <w:sz w:val="21"/>
      <w:szCs w:val="22"/>
    </w:rPr>
  </w:style>
  <w:style w:type="character" w:customStyle="1" w:styleId="22">
    <w:name w:val="列出段落 Char"/>
    <w:link w:val="21"/>
    <w:qFormat/>
    <w:uiPriority w:val="34"/>
    <w:rPr>
      <w:rFonts w:ascii="Calibri" w:hAnsi="Calibri" w:eastAsia="宋体" w:cs="Times New Roman"/>
    </w:rPr>
  </w:style>
  <w:style w:type="paragraph" w:customStyle="1" w:styleId="23">
    <w:name w:val="样式 标题 3H3l3CT标题222Bold Headbhlevel_3PIM 3Level 3 Heads..."/>
    <w:basedOn w:val="2"/>
    <w:link w:val="24"/>
    <w:qFormat/>
    <w:uiPriority w:val="0"/>
    <w:pPr>
      <w:jc w:val="left"/>
    </w:pPr>
    <w:rPr>
      <w:rFonts w:ascii="宋体" w:hAnsi="宋体" w:eastAsia="黑体"/>
      <w:color w:val="000000"/>
      <w:sz w:val="24"/>
    </w:rPr>
  </w:style>
  <w:style w:type="character" w:customStyle="1" w:styleId="24">
    <w:name w:val="样式 标题 3H3l3CT标题222Bold Headbhlevel_3PIM 3Level 3 Heads... Char"/>
    <w:link w:val="23"/>
    <w:qFormat/>
    <w:uiPriority w:val="0"/>
    <w:rPr>
      <w:rFonts w:ascii="宋体" w:hAnsi="宋体" w:eastAsia="黑体" w:cs="Times New Roman"/>
      <w:b/>
      <w:bCs/>
      <w:color w:val="000000"/>
      <w:sz w:val="24"/>
      <w:szCs w:val="32"/>
    </w:rPr>
  </w:style>
  <w:style w:type="character" w:customStyle="1" w:styleId="25">
    <w:name w:val="标题 Char"/>
    <w:basedOn w:val="15"/>
    <w:link w:val="11"/>
    <w:qFormat/>
    <w:uiPriority w:val="0"/>
    <w:rPr>
      <w:rFonts w:ascii="Cambria" w:hAnsi="Cambria" w:eastAsia="宋体" w:cs="Times New Roman"/>
      <w:b/>
      <w:bCs/>
      <w:sz w:val="32"/>
      <w:szCs w:val="32"/>
    </w:rPr>
  </w:style>
  <w:style w:type="character" w:customStyle="1" w:styleId="26">
    <w:name w:val="标题 3 Char"/>
    <w:basedOn w:val="15"/>
    <w:link w:val="2"/>
    <w:semiHidden/>
    <w:qFormat/>
    <w:uiPriority w:val="9"/>
    <w:rPr>
      <w:rFonts w:ascii="Times New Roman" w:hAnsi="Times New Roman" w:eastAsia="仿宋_GB2312" w:cs="Times New Roman"/>
      <w:b/>
      <w:bCs/>
      <w:sz w:val="32"/>
      <w:szCs w:val="32"/>
    </w:rPr>
  </w:style>
  <w:style w:type="character" w:customStyle="1" w:styleId="27">
    <w:name w:val="批注框文本 Char"/>
    <w:basedOn w:val="15"/>
    <w:link w:val="7"/>
    <w:semiHidden/>
    <w:qFormat/>
    <w:uiPriority w:val="99"/>
    <w:rPr>
      <w:rFonts w:ascii="Times New Roman" w:hAnsi="Times New Roman" w:eastAsia="仿宋_GB2312" w:cs="Times New Roman"/>
      <w:sz w:val="18"/>
      <w:szCs w:val="18"/>
    </w:rPr>
  </w:style>
  <w:style w:type="paragraph" w:customStyle="1" w:styleId="28">
    <w:name w:val="正文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9">
    <w:name w:val="正文文本缩进 Char"/>
    <w:basedOn w:val="15"/>
    <w:link w:val="4"/>
    <w:semiHidden/>
    <w:qFormat/>
    <w:uiPriority w:val="99"/>
    <w:rPr>
      <w:rFonts w:ascii="Times New Roman" w:hAnsi="Times New Roman" w:eastAsia="仿宋_GB2312" w:cs="Times New Roman"/>
      <w:sz w:val="30"/>
      <w:szCs w:val="20"/>
    </w:rPr>
  </w:style>
  <w:style w:type="character" w:customStyle="1" w:styleId="30">
    <w:name w:val="正文首行缩进 2 Char"/>
    <w:basedOn w:val="29"/>
    <w:link w:val="12"/>
    <w:qFormat/>
    <w:uiPriority w:val="0"/>
    <w:rPr>
      <w:rFonts w:ascii="仿宋_GB2312" w:hAnsi="Times New Roman" w:eastAsia="仿宋_GB2312" w:cs="Times New Roman"/>
      <w:kern w:val="0"/>
      <w:sz w:val="28"/>
      <w:szCs w:val="20"/>
    </w:rPr>
  </w:style>
  <w:style w:type="character" w:customStyle="1" w:styleId="31">
    <w:name w:val="正文文本 Char"/>
    <w:basedOn w:val="15"/>
    <w:link w:val="3"/>
    <w:semiHidden/>
    <w:qFormat/>
    <w:uiPriority w:val="99"/>
    <w:rPr>
      <w:rFonts w:ascii="Times New Roman" w:hAnsi="Times New Roman" w:eastAsia="仿宋_GB2312" w:cs="Times New Roman"/>
      <w:sz w:val="30"/>
      <w:szCs w:val="20"/>
    </w:rPr>
  </w:style>
  <w:style w:type="paragraph" w:styleId="32">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33">
    <w:name w:val="null3"/>
    <w:hidden/>
    <w:qFormat/>
    <w:uiPriority w:val="0"/>
    <w:rPr>
      <w:rFonts w:hint="eastAsia" w:asciiTheme="minorHAnsi" w:hAnsiTheme="minorHAnsi" w:eastAsiaTheme="minorEastAsia" w:cstheme="minorBidi"/>
      <w:lang w:val="en-US" w:eastAsia="zh-CN" w:bidi="ar-SA"/>
    </w:rPr>
  </w:style>
  <w:style w:type="paragraph" w:customStyle="1" w:styleId="34">
    <w:name w:val="列出段落2"/>
    <w:basedOn w:val="1"/>
    <w:qFormat/>
    <w:uiPriority w:val="0"/>
    <w:pPr>
      <w:ind w:firstLine="420" w:firstLineChars="200"/>
    </w:pPr>
    <w:rPr>
      <w:rFonts w:ascii="Calibri" w:hAnsi="Calibri" w:eastAsia="宋体"/>
      <w:sz w:val="21"/>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image" Target="media/image9.pn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13</Pages>
  <Words>4161</Words>
  <Characters>4565</Characters>
  <Lines>38</Lines>
  <Paragraphs>10</Paragraphs>
  <TotalTime>25</TotalTime>
  <ScaleCrop>false</ScaleCrop>
  <LinksUpToDate>false</LinksUpToDate>
  <CharactersWithSpaces>5934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2025-06-30T07:27:00Z</dcterms:created>
  <dc:creator>admin</dc:creator>
  <cp:lastModifiedBy>朱</cp:lastModifiedBy>
  <cp:lastPrinted>2026-10-19T00:31:08Z</cp:lastPrinted>
  <dcterms:modified xsi:type="dcterms:W3CDTF">2026-10-19T00:36:58Z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DA3CA731D98C4A99A72CE8CB4EEF804C_13</vt:lpwstr>
  </property>
  <property fmtid="{D5CDD505-2E9C-101B-9397-08002B2CF9AE}" pid="4" name="KSOTemplateDocerSaveRecord">
    <vt:lpwstr>eyJoZGlkIjoiNjNmZWU4NDg2ODZlNDQzODA2NDMyZDg1YTU1MDJlNjMiLCJ1c2VySWQiOiIzNjQ2ODU4NzgifQ==</vt:lpwstr>
  </property>
</Properties>
</file>