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4D2D">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w:t>
      </w:r>
      <w:r>
        <w:rPr>
          <w:rFonts w:cs="Helvetica" w:asciiTheme="minorEastAsia" w:hAnsiTheme="minorEastAsia" w:eastAsiaTheme="minorEastAsia"/>
          <w:b/>
          <w:kern w:val="0"/>
          <w:sz w:val="36"/>
          <w:szCs w:val="36"/>
          <w:u w:val="single"/>
        </w:rPr>
        <w:t>门市技师学院</w:t>
      </w:r>
    </w:p>
    <w:p w14:paraId="6E1AD343">
      <w:pPr>
        <w:widowControl/>
        <w:spacing w:line="600" w:lineRule="exact"/>
        <w:jc w:val="center"/>
        <w:rPr>
          <w:rFonts w:hint="eastAsia" w:cs="Helvetica" w:asciiTheme="minorEastAsia" w:hAnsiTheme="minorEastAsia" w:eastAsiaTheme="minorEastAsia"/>
          <w:b/>
          <w:kern w:val="0"/>
          <w:sz w:val="36"/>
          <w:szCs w:val="36"/>
          <w:u w:val="single"/>
          <w:lang w:eastAsia="zh-CN"/>
        </w:rPr>
      </w:pPr>
      <w:r>
        <w:rPr>
          <w:rFonts w:hint="eastAsia" w:cs="Helvetica" w:asciiTheme="minorEastAsia" w:hAnsiTheme="minorEastAsia" w:eastAsiaTheme="minorEastAsia"/>
          <w:b/>
          <w:kern w:val="0"/>
          <w:sz w:val="36"/>
          <w:szCs w:val="36"/>
          <w:u w:val="single"/>
        </w:rPr>
        <w:t>2026</w:t>
      </w:r>
      <w:r>
        <w:rPr>
          <w:rFonts w:cs="Helvetica" w:asciiTheme="minorEastAsia" w:hAnsiTheme="minorEastAsia" w:eastAsiaTheme="minorEastAsia"/>
          <w:b/>
          <w:kern w:val="0"/>
          <w:sz w:val="36"/>
          <w:szCs w:val="36"/>
          <w:u w:val="single"/>
        </w:rPr>
        <w:t>年校方责任保险、校方无责任保险</w:t>
      </w:r>
      <w:r>
        <w:rPr>
          <w:rFonts w:hint="eastAsia" w:cs="Helvetica" w:asciiTheme="minorEastAsia" w:hAnsiTheme="minorEastAsia" w:eastAsiaTheme="minorEastAsia"/>
          <w:b/>
          <w:kern w:val="0"/>
          <w:sz w:val="36"/>
          <w:szCs w:val="36"/>
          <w:u w:val="single"/>
        </w:rPr>
        <w:t>采购项目</w:t>
      </w:r>
      <w:r>
        <w:rPr>
          <w:rFonts w:hint="eastAsia" w:cs="Helvetica" w:asciiTheme="minorEastAsia" w:hAnsiTheme="minorEastAsia" w:eastAsiaTheme="minorEastAsia"/>
          <w:b/>
          <w:kern w:val="0"/>
          <w:sz w:val="36"/>
          <w:szCs w:val="36"/>
          <w:u w:val="single"/>
          <w:lang w:eastAsia="zh-CN"/>
        </w:rPr>
        <w:t>（</w:t>
      </w:r>
      <w:r>
        <w:rPr>
          <w:rFonts w:hint="eastAsia" w:cs="Helvetica" w:asciiTheme="minorEastAsia" w:hAnsiTheme="minorEastAsia" w:eastAsiaTheme="minorEastAsia"/>
          <w:b/>
          <w:kern w:val="0"/>
          <w:sz w:val="36"/>
          <w:szCs w:val="36"/>
          <w:u w:val="single"/>
          <w:lang w:val="en-US" w:eastAsia="zh-CN"/>
        </w:rPr>
        <w:t>第二次</w:t>
      </w:r>
      <w:r>
        <w:rPr>
          <w:rFonts w:hint="eastAsia" w:cs="Helvetica" w:asciiTheme="minorEastAsia" w:hAnsiTheme="minorEastAsia" w:eastAsiaTheme="minorEastAsia"/>
          <w:b/>
          <w:kern w:val="0"/>
          <w:sz w:val="36"/>
          <w:szCs w:val="36"/>
          <w:u w:val="single"/>
          <w:lang w:eastAsia="zh-CN"/>
        </w:rPr>
        <w:t>）</w:t>
      </w:r>
    </w:p>
    <w:p w14:paraId="38CEB1F9">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u w:val="single"/>
        </w:rPr>
        <w:t>需求书</w:t>
      </w:r>
    </w:p>
    <w:p w14:paraId="262095EA">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73BA8DB">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10"/>
        <w:gridCol w:w="3449"/>
        <w:gridCol w:w="1388"/>
        <w:gridCol w:w="2496"/>
      </w:tblGrid>
      <w:tr w14:paraId="5BCAB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410" w:type="dxa"/>
            <w:vAlign w:val="center"/>
          </w:tcPr>
          <w:p w14:paraId="235B9DC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449" w:type="dxa"/>
            <w:vAlign w:val="center"/>
          </w:tcPr>
          <w:p w14:paraId="0A4C9E27">
            <w:pPr>
              <w:jc w:val="center"/>
              <w:rPr>
                <w:rFonts w:hint="eastAsia" w:eastAsia="宋体" w:cs="宋体" w:asciiTheme="minorEastAsia" w:hAnsiTheme="minorEastAsia"/>
                <w:bCs/>
                <w:kern w:val="0"/>
                <w:sz w:val="24"/>
                <w:szCs w:val="24"/>
                <w:lang w:eastAsia="zh-CN"/>
              </w:rPr>
            </w:pPr>
            <w:r>
              <w:rPr>
                <w:rFonts w:hint="eastAsia" w:ascii="宋体" w:hAnsi="宋体" w:eastAsia="宋体" w:cs="宋体"/>
                <w:sz w:val="24"/>
                <w:szCs w:val="24"/>
              </w:rPr>
              <w:t>江</w:t>
            </w:r>
            <w:r>
              <w:rPr>
                <w:rFonts w:ascii="宋体" w:hAnsi="宋体" w:eastAsia="宋体" w:cs="宋体"/>
                <w:sz w:val="24"/>
                <w:szCs w:val="24"/>
              </w:rPr>
              <w:t>门市技师学院</w:t>
            </w:r>
            <w:r>
              <w:rPr>
                <w:rFonts w:hint="eastAsia" w:ascii="宋体" w:hAnsi="宋体" w:eastAsia="宋体" w:cs="宋体"/>
                <w:sz w:val="24"/>
                <w:szCs w:val="24"/>
              </w:rPr>
              <w:t>2026</w:t>
            </w:r>
            <w:r>
              <w:rPr>
                <w:rFonts w:ascii="宋体" w:hAnsi="宋体" w:eastAsia="宋体" w:cs="宋体"/>
                <w:sz w:val="24"/>
                <w:szCs w:val="24"/>
              </w:rPr>
              <w:t>年校方责任保险、校方无责任保险</w:t>
            </w:r>
            <w:r>
              <w:rPr>
                <w:rFonts w:hint="eastAsia" w:ascii="宋体" w:hAnsi="宋体" w:eastAsia="宋体" w:cs="宋体"/>
                <w:sz w:val="24"/>
                <w:szCs w:val="24"/>
              </w:rPr>
              <w:t>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第二次</w:t>
            </w:r>
            <w:r>
              <w:rPr>
                <w:rFonts w:hint="eastAsia" w:ascii="宋体" w:hAnsi="宋体" w:eastAsia="宋体" w:cs="宋体"/>
                <w:sz w:val="24"/>
                <w:szCs w:val="24"/>
                <w:lang w:eastAsia="zh-CN"/>
              </w:rPr>
              <w:t>）</w:t>
            </w:r>
          </w:p>
        </w:tc>
        <w:tc>
          <w:tcPr>
            <w:tcW w:w="1388" w:type="dxa"/>
            <w:vAlign w:val="center"/>
          </w:tcPr>
          <w:p w14:paraId="327A2A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21" w:type="dxa"/>
            <w:vAlign w:val="center"/>
          </w:tcPr>
          <w:p w14:paraId="7390CDF8">
            <w:pPr>
              <w:jc w:val="center"/>
              <w:rPr>
                <w:rFonts w:hint="default" w:ascii="宋体" w:hAnsi="宋体" w:eastAsia="宋体" w:cs="宋体"/>
                <w:sz w:val="24"/>
                <w:szCs w:val="24"/>
                <w:lang w:val="en-US"/>
              </w:rPr>
            </w:pPr>
            <w:r>
              <w:rPr>
                <w:rFonts w:hint="eastAsia" w:ascii="宋体" w:hAnsi="宋体" w:eastAsia="宋体" w:cs="宋体"/>
                <w:sz w:val="24"/>
                <w:szCs w:val="24"/>
              </w:rPr>
              <w:t>xsb-</w:t>
            </w:r>
            <w:r>
              <w:rPr>
                <w:rFonts w:hint="eastAsia" w:ascii="宋体" w:hAnsi="宋体" w:eastAsia="宋体" w:cs="宋体"/>
                <w:sz w:val="24"/>
                <w:szCs w:val="24"/>
                <w:lang w:val="en-US" w:eastAsia="zh-CN"/>
              </w:rPr>
              <w:t>cgzx-</w:t>
            </w:r>
            <w:r>
              <w:rPr>
                <w:rFonts w:hint="eastAsia" w:ascii="宋体" w:hAnsi="宋体" w:eastAsia="宋体" w:cs="宋体"/>
                <w:sz w:val="24"/>
                <w:szCs w:val="24"/>
              </w:rPr>
              <w:t>2026-</w:t>
            </w:r>
            <w:r>
              <w:rPr>
                <w:rFonts w:hint="eastAsia" w:ascii="宋体" w:hAnsi="宋体" w:eastAsia="宋体" w:cs="宋体"/>
                <w:sz w:val="24"/>
                <w:szCs w:val="24"/>
                <w:lang w:val="en-US" w:eastAsia="zh-CN"/>
              </w:rPr>
              <w:t>17-01</w:t>
            </w:r>
          </w:p>
        </w:tc>
      </w:tr>
      <w:tr w14:paraId="3062A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159DD7F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449" w:type="dxa"/>
            <w:vAlign w:val="center"/>
          </w:tcPr>
          <w:p w14:paraId="5AEE90D8">
            <w:pPr>
              <w:jc w:val="center"/>
              <w:rPr>
                <w:rFonts w:ascii="宋体" w:hAnsi="宋体" w:eastAsia="宋体" w:cs="宋体"/>
                <w:sz w:val="24"/>
                <w:szCs w:val="24"/>
              </w:rPr>
            </w:pPr>
            <w:r>
              <w:rPr>
                <w:rFonts w:hint="eastAsia" w:cs="宋体" w:asciiTheme="minorEastAsia" w:hAnsiTheme="minorEastAsia" w:eastAsiaTheme="minorEastAsia"/>
                <w:bCs/>
                <w:kern w:val="0"/>
                <w:sz w:val="24"/>
                <w:szCs w:val="24"/>
              </w:rPr>
              <w:t>9元/人/年（购买人数约11000人，具体购买人数以学院实际购买人数为准）</w:t>
            </w:r>
          </w:p>
        </w:tc>
        <w:tc>
          <w:tcPr>
            <w:tcW w:w="1388" w:type="dxa"/>
            <w:vAlign w:val="center"/>
          </w:tcPr>
          <w:p w14:paraId="533405C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21" w:type="dxa"/>
            <w:vAlign w:val="center"/>
          </w:tcPr>
          <w:p w14:paraId="60DA21B4">
            <w:pPr>
              <w:jc w:val="center"/>
              <w:rPr>
                <w:rFonts w:ascii="宋体" w:hAnsi="宋体" w:eastAsia="宋体" w:cs="宋体"/>
                <w:sz w:val="24"/>
                <w:szCs w:val="24"/>
              </w:rPr>
            </w:pPr>
            <w:r>
              <w:rPr>
                <w:rFonts w:hint="eastAsia" w:ascii="宋体" w:hAnsi="宋体" w:eastAsia="宋体" w:cs="宋体"/>
                <w:sz w:val="24"/>
                <w:szCs w:val="24"/>
              </w:rPr>
              <w:t>从合同签订生效之日起一年</w:t>
            </w:r>
          </w:p>
        </w:tc>
      </w:tr>
      <w:tr w14:paraId="50E348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3285670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449" w:type="dxa"/>
            <w:vAlign w:val="center"/>
          </w:tcPr>
          <w:p w14:paraId="52F6D7BC">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综合评分法</w:t>
            </w:r>
          </w:p>
        </w:tc>
        <w:tc>
          <w:tcPr>
            <w:tcW w:w="1388" w:type="dxa"/>
            <w:vAlign w:val="center"/>
          </w:tcPr>
          <w:p w14:paraId="38C69FE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21" w:type="dxa"/>
            <w:vAlign w:val="center"/>
          </w:tcPr>
          <w:p w14:paraId="7AD2C407">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kern w:val="0"/>
                <w:sz w:val="24"/>
                <w:szCs w:val="24"/>
              </w:rPr>
              <w:t>否</w:t>
            </w:r>
          </w:p>
        </w:tc>
      </w:tr>
      <w:tr w14:paraId="3A209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6904ECF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449" w:type="dxa"/>
            <w:vAlign w:val="center"/>
          </w:tcPr>
          <w:p w14:paraId="50A53FD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388" w:type="dxa"/>
            <w:vAlign w:val="center"/>
          </w:tcPr>
          <w:p w14:paraId="17AF2F4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21" w:type="dxa"/>
            <w:vAlign w:val="center"/>
          </w:tcPr>
          <w:p w14:paraId="4D0A7B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6583F11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0E03510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350463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ACCE74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3.投标人必须是经中国银行保险监督管理委员会批准设立的保险机构，取得经营保险业务许可证，业务范围包含该经营责任保险。</w:t>
      </w:r>
    </w:p>
    <w:p w14:paraId="0CA0F4E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54A7DAC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（一）保障内容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0"/>
        <w:gridCol w:w="4140"/>
        <w:gridCol w:w="1440"/>
      </w:tblGrid>
      <w:tr w14:paraId="021B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shd w:val="clear" w:color="auto" w:fill="auto"/>
            <w:tcMar>
              <w:left w:w="105" w:type="dxa"/>
              <w:right w:w="105" w:type="dxa"/>
            </w:tcMar>
            <w:vAlign w:val="center"/>
          </w:tcPr>
          <w:p w14:paraId="6D81A7D0">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险种</w:t>
            </w:r>
          </w:p>
        </w:tc>
        <w:tc>
          <w:tcPr>
            <w:tcW w:w="4140" w:type="dxa"/>
            <w:shd w:val="clear" w:color="auto" w:fill="auto"/>
            <w:tcMar>
              <w:left w:w="105" w:type="dxa"/>
              <w:right w:w="105" w:type="dxa"/>
            </w:tcMar>
            <w:vAlign w:val="center"/>
          </w:tcPr>
          <w:p w14:paraId="2397C8FB">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保障项目</w:t>
            </w:r>
          </w:p>
        </w:tc>
        <w:tc>
          <w:tcPr>
            <w:tcW w:w="1440" w:type="dxa"/>
            <w:shd w:val="clear" w:color="auto" w:fill="auto"/>
            <w:tcMar>
              <w:left w:w="105" w:type="dxa"/>
              <w:right w:w="105" w:type="dxa"/>
            </w:tcMar>
            <w:vAlign w:val="center"/>
          </w:tcPr>
          <w:p w14:paraId="23F8F1CB">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赔限额偿</w:t>
            </w:r>
          </w:p>
        </w:tc>
      </w:tr>
      <w:tr w14:paraId="6FA9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restart"/>
            <w:shd w:val="clear" w:color="auto" w:fill="auto"/>
            <w:tcMar>
              <w:left w:w="105" w:type="dxa"/>
              <w:right w:w="105" w:type="dxa"/>
            </w:tcMar>
            <w:vAlign w:val="center"/>
          </w:tcPr>
          <w:p w14:paraId="5A4A8E3A">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1.校方责任保险</w:t>
            </w:r>
          </w:p>
        </w:tc>
        <w:tc>
          <w:tcPr>
            <w:tcW w:w="4140" w:type="dxa"/>
            <w:shd w:val="clear" w:color="auto" w:fill="auto"/>
            <w:tcMar>
              <w:left w:w="105" w:type="dxa"/>
              <w:right w:w="105" w:type="dxa"/>
            </w:tcMar>
            <w:vAlign w:val="center"/>
          </w:tcPr>
          <w:p w14:paraId="5C36227D">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每人每次赔偿限额</w:t>
            </w:r>
          </w:p>
        </w:tc>
        <w:tc>
          <w:tcPr>
            <w:tcW w:w="1440" w:type="dxa"/>
            <w:shd w:val="clear" w:color="auto" w:fill="auto"/>
            <w:tcMar>
              <w:left w:w="105" w:type="dxa"/>
              <w:right w:w="105" w:type="dxa"/>
            </w:tcMar>
            <w:vAlign w:val="center"/>
          </w:tcPr>
          <w:p w14:paraId="07FF68C1">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50万</w:t>
            </w:r>
          </w:p>
        </w:tc>
      </w:tr>
      <w:tr w14:paraId="6AD7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5D57A4F5">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50919065">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每次事故赔偿限额</w:t>
            </w:r>
          </w:p>
        </w:tc>
        <w:tc>
          <w:tcPr>
            <w:tcW w:w="1440" w:type="dxa"/>
            <w:shd w:val="clear" w:color="auto" w:fill="auto"/>
            <w:tcMar>
              <w:left w:w="105" w:type="dxa"/>
              <w:right w:w="105" w:type="dxa"/>
            </w:tcMar>
            <w:vAlign w:val="center"/>
          </w:tcPr>
          <w:p w14:paraId="6F563357">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500万</w:t>
            </w:r>
          </w:p>
        </w:tc>
      </w:tr>
      <w:tr w14:paraId="2D87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149D8B53">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0A81D7F3">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每年累计赔偿限额</w:t>
            </w:r>
          </w:p>
        </w:tc>
        <w:tc>
          <w:tcPr>
            <w:tcW w:w="1440" w:type="dxa"/>
            <w:shd w:val="clear" w:color="auto" w:fill="auto"/>
            <w:tcMar>
              <w:left w:w="105" w:type="dxa"/>
              <w:right w:w="105" w:type="dxa"/>
            </w:tcMar>
            <w:vAlign w:val="center"/>
          </w:tcPr>
          <w:p w14:paraId="69146111">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1500万元</w:t>
            </w:r>
          </w:p>
        </w:tc>
      </w:tr>
      <w:tr w14:paraId="766A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4E42CB36">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3D04030D">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每次事故每人财产损失赔偿限额</w:t>
            </w:r>
          </w:p>
        </w:tc>
        <w:tc>
          <w:tcPr>
            <w:tcW w:w="1440" w:type="dxa"/>
            <w:shd w:val="clear" w:color="auto" w:fill="auto"/>
            <w:tcMar>
              <w:left w:w="105" w:type="dxa"/>
              <w:right w:w="105" w:type="dxa"/>
            </w:tcMar>
            <w:vAlign w:val="center"/>
          </w:tcPr>
          <w:p w14:paraId="48EC1083">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2万元</w:t>
            </w:r>
          </w:p>
        </w:tc>
      </w:tr>
      <w:tr w14:paraId="6CEB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400B8BEB">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23FFE2D9">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每次事故财产损失赔偿限额</w:t>
            </w:r>
          </w:p>
        </w:tc>
        <w:tc>
          <w:tcPr>
            <w:tcW w:w="1440" w:type="dxa"/>
            <w:shd w:val="clear" w:color="auto" w:fill="auto"/>
            <w:tcMar>
              <w:left w:w="105" w:type="dxa"/>
              <w:right w:w="105" w:type="dxa"/>
            </w:tcMar>
            <w:vAlign w:val="center"/>
          </w:tcPr>
          <w:p w14:paraId="5DB65F24">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100万元</w:t>
            </w:r>
          </w:p>
        </w:tc>
      </w:tr>
      <w:tr w14:paraId="1CF7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0401B42C">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085AB2EE">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每次事故法律费用赔偿限额</w:t>
            </w:r>
          </w:p>
        </w:tc>
        <w:tc>
          <w:tcPr>
            <w:tcW w:w="1440" w:type="dxa"/>
            <w:shd w:val="clear" w:color="auto" w:fill="auto"/>
            <w:tcMar>
              <w:left w:w="105" w:type="dxa"/>
              <w:right w:w="105" w:type="dxa"/>
            </w:tcMar>
            <w:vAlign w:val="center"/>
          </w:tcPr>
          <w:p w14:paraId="6DB69CBF">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10万元</w:t>
            </w:r>
          </w:p>
        </w:tc>
      </w:tr>
      <w:tr w14:paraId="388D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37EE870E">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70A457CD">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免赔额</w:t>
            </w:r>
          </w:p>
        </w:tc>
        <w:tc>
          <w:tcPr>
            <w:tcW w:w="1440" w:type="dxa"/>
            <w:shd w:val="clear" w:color="auto" w:fill="auto"/>
            <w:tcMar>
              <w:left w:w="105" w:type="dxa"/>
              <w:right w:w="105" w:type="dxa"/>
            </w:tcMar>
            <w:vAlign w:val="center"/>
          </w:tcPr>
          <w:p w14:paraId="27BEA30C">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0</w:t>
            </w:r>
          </w:p>
        </w:tc>
      </w:tr>
      <w:tr w14:paraId="4E8A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restart"/>
            <w:shd w:val="clear" w:color="auto" w:fill="auto"/>
            <w:tcMar>
              <w:left w:w="105" w:type="dxa"/>
              <w:right w:w="105" w:type="dxa"/>
            </w:tcMar>
            <w:vAlign w:val="center"/>
          </w:tcPr>
          <w:p w14:paraId="6DAAD7C2">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2.校方无责任保险(校园意外险)</w:t>
            </w:r>
          </w:p>
        </w:tc>
        <w:tc>
          <w:tcPr>
            <w:tcW w:w="4140" w:type="dxa"/>
            <w:shd w:val="clear" w:color="auto" w:fill="auto"/>
            <w:tcMar>
              <w:left w:w="105" w:type="dxa"/>
              <w:right w:w="105" w:type="dxa"/>
            </w:tcMar>
            <w:vAlign w:val="center"/>
          </w:tcPr>
          <w:p w14:paraId="5E79F024">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意外身故及伤残</w:t>
            </w:r>
          </w:p>
        </w:tc>
        <w:tc>
          <w:tcPr>
            <w:tcW w:w="1440" w:type="dxa"/>
            <w:shd w:val="clear" w:color="auto" w:fill="auto"/>
            <w:tcMar>
              <w:left w:w="105" w:type="dxa"/>
              <w:right w:w="105" w:type="dxa"/>
            </w:tcMar>
            <w:vAlign w:val="center"/>
          </w:tcPr>
          <w:p w14:paraId="587AEB93">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15万元</w:t>
            </w:r>
          </w:p>
        </w:tc>
      </w:tr>
      <w:tr w14:paraId="2317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8" w:hRule="exact"/>
          <w:jc w:val="center"/>
        </w:trPr>
        <w:tc>
          <w:tcPr>
            <w:tcW w:w="1980" w:type="dxa"/>
            <w:vMerge w:val="continue"/>
            <w:shd w:val="clear" w:color="auto" w:fill="auto"/>
            <w:tcMar>
              <w:left w:w="105" w:type="dxa"/>
              <w:right w:w="105" w:type="dxa"/>
            </w:tcMar>
            <w:vAlign w:val="center"/>
          </w:tcPr>
          <w:p w14:paraId="2F264F47">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6E4D44F7">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未参加社会基本医疗保险、公费医疗的被保险人，医疗保险金给付的免赔额为100元，给付比例为80％；参加社会基本医疗保险、公费医疗的被保险人，医疗保险金给付的免赔额为0元，给付比例为90％。</w:t>
            </w:r>
          </w:p>
        </w:tc>
        <w:tc>
          <w:tcPr>
            <w:tcW w:w="1440" w:type="dxa"/>
            <w:shd w:val="clear" w:color="auto" w:fill="auto"/>
            <w:tcMar>
              <w:left w:w="105" w:type="dxa"/>
              <w:right w:w="105" w:type="dxa"/>
            </w:tcMar>
            <w:vAlign w:val="center"/>
          </w:tcPr>
          <w:p w14:paraId="232C6DD4">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2万元</w:t>
            </w:r>
          </w:p>
        </w:tc>
      </w:tr>
      <w:tr w14:paraId="3366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exact"/>
          <w:jc w:val="center"/>
        </w:trPr>
        <w:tc>
          <w:tcPr>
            <w:tcW w:w="1980" w:type="dxa"/>
            <w:shd w:val="clear" w:color="auto" w:fill="auto"/>
            <w:tcMar>
              <w:left w:w="105" w:type="dxa"/>
              <w:right w:w="105" w:type="dxa"/>
            </w:tcMar>
            <w:vAlign w:val="center"/>
          </w:tcPr>
          <w:p w14:paraId="7335E767">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3.保险期限</w:t>
            </w:r>
          </w:p>
        </w:tc>
        <w:tc>
          <w:tcPr>
            <w:tcW w:w="5580" w:type="dxa"/>
            <w:gridSpan w:val="2"/>
            <w:shd w:val="clear" w:color="auto" w:fill="auto"/>
            <w:tcMar>
              <w:left w:w="105" w:type="dxa"/>
              <w:right w:w="105" w:type="dxa"/>
            </w:tcMar>
            <w:vAlign w:val="center"/>
          </w:tcPr>
          <w:p w14:paraId="1FB9756B">
            <w:pPr>
              <w:pStyle w:val="11"/>
              <w:adjustRightInd w:val="0"/>
              <w:snapToGrid w:val="0"/>
              <w:spacing w:after="0" w:line="360" w:lineRule="exact"/>
              <w:jc w:val="both"/>
              <w:rPr>
                <w:rFonts w:hint="eastAsia" w:ascii="宋体" w:hAnsi="宋体" w:eastAsia="宋体" w:cs="宋体"/>
              </w:rPr>
            </w:pPr>
            <w:r>
              <w:rPr>
                <w:rFonts w:hint="eastAsia" w:ascii="宋体" w:hAnsi="宋体" w:eastAsia="宋体" w:cs="宋体"/>
              </w:rPr>
              <w:t>一年</w:t>
            </w:r>
          </w:p>
        </w:tc>
      </w:tr>
    </w:tbl>
    <w:p w14:paraId="61C967CF">
      <w:pPr>
        <w:numPr>
          <w:ilvl w:val="0"/>
          <w:numId w:val="1"/>
        </w:num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服务期限：一年</w:t>
      </w:r>
    </w:p>
    <w:p w14:paraId="28F2BD50">
      <w:pPr>
        <w:numPr>
          <w:ilvl w:val="0"/>
          <w:numId w:val="1"/>
        </w:num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保障范围</w:t>
      </w:r>
    </w:p>
    <w:p w14:paraId="641C8C2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校方责任保险，在保险期间和保单明细表中列明的保险区域范围内，被保险人在其校（园）内或由其统一组织并带领下的校（园）外活动中（限中国境内，港澳台地区除外），由于疏忽或过失造成下列依照中华人民共和国法律（不包括港澳台地区法律）应由被保险人承担的经济赔偿责任，保险公司负责赔偿：</w:t>
      </w:r>
    </w:p>
    <w:p w14:paraId="4883D12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（1）注册学生的人身伤亡或财产损失；</w:t>
      </w:r>
    </w:p>
    <w:p w14:paraId="7E62F82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（2）事先经保险人书面同意的仲裁或诉讼费用；</w:t>
      </w:r>
    </w:p>
    <w:p w14:paraId="080E6D5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上述第（1）与第（2）项每次事故赔偿总金额不得超过本保险单明细表中列明的每次事故赔偿限额。</w:t>
      </w:r>
    </w:p>
    <w:p w14:paraId="566A5C1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发生保险责任事故后，被保险人为缩小或减少对注册学生的人身伤亡或财产损失的赔偿责任所支付必要的、合理的费用，保险人也负责赔偿。该项每次事故赔偿金额另行计算，最高不得超过本保险单明细表中列明的每次事故赔偿限额。</w:t>
      </w:r>
    </w:p>
    <w:p w14:paraId="4836DC3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2.校方无责任保险。在本合同保险期间内，被保险人在校园内参加教育教学活动或者参加学校组织安排的校外活动时遭受意外伤害，保险公司依下列约定给付保险金：</w:t>
      </w:r>
    </w:p>
    <w:p w14:paraId="0A49421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（1）被保险人自该意外伤害发生之日起一百八十日内因该意外伤害导致身故的，保险公司按保险金额扣除已给付伤残保险金和医疗保险金后的余额给付身故保险金，本合同终止。</w:t>
      </w:r>
    </w:p>
    <w:p w14:paraId="424AE53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（2）被保险人因意外事故下落不明，经人民法院宣告死亡，本公司按保险金额扣除已给付伤残保险金和医疗保险金后的余额给付身故保险金，本合同终止。</w:t>
      </w:r>
    </w:p>
    <w:p w14:paraId="2BB2697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被保险人自该意外伤害发生之日起一百八十日内因该意外伤害导致身体伤残的，保险公司根据《人身保险伤残评定标准（行业标准）》（以下简称《标准》，见附表）的规定，按合同约定的保险金额乘以该处伤残的伤残等级所对应的保险金给付比例给付伤残保险金。</w:t>
      </w:r>
    </w:p>
    <w:p w14:paraId="2E7C6A1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当同一保险事故导致两处或两处以上伤残时，保险公司仅按其中一处的伤残等级给付伤残保险金：如果各处的伤残等级不完全相同且最重的伤残等级所对应的伤残只有一处，保险公司按最重的伤残等级所对应的保险金给付比例给付伤残保险金；如果各处的伤残等级完全相同或最重的伤残等级所对应的伤残有两处或两处以上，保险公司将该伤残等级在原基础上晋升一级（但最高晋升至第一级），并按晋升后的伤残等级所对应的保险金给付比例给付伤残保险金。同一部位和性质的伤残，不能采用《标准》条文两条以上或者同一条文两次以上进行评定。</w:t>
      </w:r>
    </w:p>
    <w:p w14:paraId="6E95821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被保险人因该意外伤害在二级以上（含二级）医院或本公司认可的其他医疗机构诊疗，对被保险人每次意外伤害事故所发生并实际支出的符合当地社会基本医疗保险支付范围的医疗费用，保险公司在扣除当地社会基本医疗保险、公费医疗或其他途径已经补偿或给付部分以及本合同约定的免赔额后，对其余额按合同约定的给付比例给付医疗保险金。医疗保险金的免赔额和给付比例，分别按照被保险人是否参加社会基本医疗保险、公费医疗的情况，由投保人在投保时与保险公司协商确定并在保险单上载明。保险期间届满被保险人治疗仍未结束的，保险公司继续承担给付医疗保险金的期限，自保险期间届满的次日起，门（急）诊治疗者以十五日为限；住院治疗者至出院之日止，但以九十日为限。</w:t>
      </w:r>
    </w:p>
    <w:p w14:paraId="63B8BC7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（5）保险公司所负给付各项保险金的责任以保险金额为限，对被保险人一次或者累计给付的各项保险金达到保险金额时，本合同终止。</w:t>
      </w:r>
    </w:p>
    <w:p w14:paraId="480B153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四、提交报价单</w:t>
      </w:r>
    </w:p>
    <w:p w14:paraId="1DF0B6F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详见（采购项目）报价表（附件5），投标人按照附件格式填入单价和总价，不得对附件表格的内容</w:t>
      </w:r>
      <w:r>
        <w:rPr>
          <w:rFonts w:cs="宋体" w:asciiTheme="minorEastAsia" w:hAnsiTheme="minorEastAsia" w:eastAsiaTheme="minorEastAsia"/>
          <w:bCs/>
          <w:kern w:val="0"/>
          <w:sz w:val="28"/>
          <w:szCs w:val="28"/>
        </w:rPr>
        <w:t>做作</w:t>
      </w:r>
      <w:r>
        <w:rPr>
          <w:rFonts w:hint="eastAsia" w:cs="宋体" w:asciiTheme="minorEastAsia" w:hAnsiTheme="minorEastAsia" w:eastAsiaTheme="minorEastAsia"/>
          <w:bCs/>
          <w:kern w:val="0"/>
          <w:sz w:val="28"/>
          <w:szCs w:val="28"/>
        </w:rPr>
        <w:t>任何修改，否则视为无效。</w:t>
      </w:r>
    </w:p>
    <w:p w14:paraId="480D4A7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五、资金支付</w:t>
      </w:r>
    </w:p>
    <w:p w14:paraId="5EF02AD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中标供应商在签订服务协议后按学院实际购买人数的总价100%开具发票交采购方，办理支付手续，待采购人资金到位后支付。</w:t>
      </w:r>
    </w:p>
    <w:p w14:paraId="603D5F26">
      <w:pPr>
        <w:spacing w:line="360" w:lineRule="auto"/>
        <w:ind w:firstLine="560" w:firstLineChars="200"/>
        <w:rPr>
          <w:rFonts w:cs="宋体" w:asciiTheme="minorEastAsia" w:hAnsiTheme="minorEastAsia" w:eastAsiaTheme="minorEastAsia"/>
          <w:bCs/>
          <w:kern w:val="0"/>
          <w:sz w:val="28"/>
          <w:szCs w:val="28"/>
        </w:rPr>
      </w:pPr>
    </w:p>
    <w:p w14:paraId="77F84625">
      <w:pPr>
        <w:spacing w:line="360" w:lineRule="auto"/>
        <w:ind w:firstLine="560" w:firstLineChars="200"/>
        <w:rPr>
          <w:rFonts w:cs="宋体" w:asciiTheme="minorEastAsia" w:hAnsiTheme="minorEastAsia" w:eastAsiaTheme="minorEastAsia"/>
          <w:bCs/>
          <w:kern w:val="0"/>
          <w:sz w:val="28"/>
          <w:szCs w:val="28"/>
        </w:rPr>
      </w:pPr>
    </w:p>
    <w:p w14:paraId="3829CAAC">
      <w:pPr>
        <w:rPr>
          <w:rFonts w:cs="宋体" w:asciiTheme="minorEastAsia" w:hAnsiTheme="minorEastAsia" w:eastAsiaTheme="minorEastAsia"/>
          <w:sz w:val="28"/>
          <w:szCs w:val="28"/>
        </w:rPr>
      </w:pPr>
    </w:p>
    <w:p w14:paraId="0FDDB371">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53FBF14F">
      <w:pPr>
        <w:jc w:val="center"/>
        <w:rPr>
          <w:rFonts w:cs="宋体" w:asciiTheme="minorEastAsia" w:hAnsiTheme="minorEastAsia" w:eastAsiaTheme="minorEastAsia"/>
          <w:b/>
          <w:szCs w:val="30"/>
        </w:rPr>
      </w:pPr>
      <w:r>
        <w:rPr>
          <w:rFonts w:hint="eastAsia" w:cs="宋体" w:asciiTheme="minorEastAsia" w:hAnsiTheme="minorEastAsia" w:eastAsiaTheme="minorEastAsia"/>
          <w:b/>
          <w:szCs w:val="30"/>
        </w:rPr>
        <w:t>第二章  评分标准</w:t>
      </w:r>
    </w:p>
    <w:tbl>
      <w:tblPr>
        <w:tblStyle w:val="15"/>
        <w:tblW w:w="985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915"/>
        <w:gridCol w:w="1650"/>
        <w:gridCol w:w="1980"/>
        <w:gridCol w:w="4598"/>
      </w:tblGrid>
      <w:tr w14:paraId="54EA9C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70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8C492B5">
            <w:pPr>
              <w:pStyle w:val="11"/>
              <w:adjustRightInd w:val="0"/>
              <w:snapToGrid w:val="0"/>
              <w:spacing w:line="380" w:lineRule="exact"/>
              <w:jc w:val="center"/>
              <w:rPr>
                <w:rFonts w:ascii="仿宋" w:hAnsi="仿宋" w:eastAsia="仿宋" w:cs="仿宋"/>
              </w:rPr>
            </w:pPr>
            <w:r>
              <w:rPr>
                <w:rFonts w:hint="eastAsia" w:ascii="仿宋" w:hAnsi="仿宋" w:eastAsia="仿宋" w:cs="仿宋"/>
              </w:rPr>
              <w:t>序号</w:t>
            </w:r>
          </w:p>
        </w:tc>
        <w:tc>
          <w:tcPr>
            <w:tcW w:w="91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A188087">
            <w:pPr>
              <w:pStyle w:val="11"/>
              <w:adjustRightInd w:val="0"/>
              <w:snapToGrid w:val="0"/>
              <w:spacing w:line="380" w:lineRule="exact"/>
              <w:jc w:val="center"/>
              <w:rPr>
                <w:rFonts w:ascii="仿宋" w:hAnsi="仿宋" w:eastAsia="仿宋" w:cs="仿宋"/>
              </w:rPr>
            </w:pPr>
            <w:r>
              <w:rPr>
                <w:rFonts w:hint="eastAsia" w:ascii="仿宋" w:hAnsi="仿宋" w:eastAsia="仿宋" w:cs="仿宋"/>
              </w:rPr>
              <w:t>类别</w:t>
            </w:r>
          </w:p>
        </w:tc>
        <w:tc>
          <w:tcPr>
            <w:tcW w:w="16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54BA9BB">
            <w:pPr>
              <w:pStyle w:val="11"/>
              <w:adjustRightInd w:val="0"/>
              <w:snapToGrid w:val="0"/>
              <w:spacing w:line="380" w:lineRule="exact"/>
              <w:jc w:val="center"/>
              <w:rPr>
                <w:rFonts w:ascii="仿宋" w:hAnsi="仿宋" w:eastAsia="仿宋" w:cs="仿宋"/>
              </w:rPr>
            </w:pPr>
            <w:r>
              <w:rPr>
                <w:rFonts w:hint="eastAsia" w:ascii="仿宋" w:hAnsi="仿宋" w:eastAsia="仿宋" w:cs="仿宋"/>
              </w:rPr>
              <w:t>项目</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52EA367">
            <w:pPr>
              <w:pStyle w:val="11"/>
              <w:adjustRightInd w:val="0"/>
              <w:snapToGrid w:val="0"/>
              <w:spacing w:line="380" w:lineRule="exact"/>
              <w:jc w:val="center"/>
              <w:rPr>
                <w:rFonts w:ascii="仿宋" w:hAnsi="仿宋" w:eastAsia="仿宋" w:cs="仿宋"/>
              </w:rPr>
            </w:pPr>
            <w:r>
              <w:rPr>
                <w:rFonts w:hint="eastAsia" w:ascii="仿宋" w:hAnsi="仿宋" w:eastAsia="仿宋" w:cs="仿宋"/>
              </w:rPr>
              <w:t>配分</w:t>
            </w:r>
          </w:p>
        </w:tc>
        <w:tc>
          <w:tcPr>
            <w:tcW w:w="459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31904EC">
            <w:pPr>
              <w:pStyle w:val="11"/>
              <w:adjustRightInd w:val="0"/>
              <w:snapToGrid w:val="0"/>
              <w:spacing w:line="380" w:lineRule="exact"/>
              <w:jc w:val="center"/>
              <w:rPr>
                <w:rFonts w:ascii="仿宋" w:hAnsi="仿宋" w:eastAsia="仿宋" w:cs="仿宋"/>
              </w:rPr>
            </w:pPr>
            <w:r>
              <w:rPr>
                <w:rFonts w:hint="eastAsia" w:ascii="仿宋" w:hAnsi="仿宋" w:eastAsia="仿宋" w:cs="仿宋"/>
              </w:rPr>
              <w:t>具体内容要求</w:t>
            </w:r>
          </w:p>
        </w:tc>
      </w:tr>
      <w:tr w14:paraId="651CA8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3" w:hRule="exact"/>
          <w:jc w:val="center"/>
        </w:trPr>
        <w:tc>
          <w:tcPr>
            <w:tcW w:w="70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010E488">
            <w:pPr>
              <w:pStyle w:val="11"/>
              <w:adjustRightInd w:val="0"/>
              <w:snapToGrid w:val="0"/>
              <w:spacing w:line="560" w:lineRule="exact"/>
              <w:jc w:val="center"/>
              <w:rPr>
                <w:rFonts w:ascii="仿宋" w:hAnsi="仿宋" w:eastAsia="仿宋" w:cs="仿宋"/>
              </w:rPr>
            </w:pPr>
            <w:r>
              <w:rPr>
                <w:rFonts w:hint="eastAsia" w:ascii="仿宋" w:hAnsi="仿宋" w:eastAsia="仿宋" w:cs="仿宋"/>
              </w:rPr>
              <w:t>1</w:t>
            </w:r>
          </w:p>
        </w:tc>
        <w:tc>
          <w:tcPr>
            <w:tcW w:w="91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BEDDFEB">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价格部分</w:t>
            </w:r>
          </w:p>
        </w:tc>
        <w:tc>
          <w:tcPr>
            <w:tcW w:w="16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1249A96">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价格评分</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EEB3184">
            <w:pPr>
              <w:pStyle w:val="11"/>
              <w:adjustRightInd w:val="0"/>
              <w:snapToGrid w:val="0"/>
              <w:spacing w:line="560" w:lineRule="exact"/>
              <w:jc w:val="center"/>
              <w:rPr>
                <w:rFonts w:ascii="仿宋" w:hAnsi="仿宋" w:eastAsia="仿宋" w:cs="仿宋"/>
              </w:rPr>
            </w:pPr>
            <w:r>
              <w:rPr>
                <w:rFonts w:hint="eastAsia" w:ascii="仿宋" w:hAnsi="仿宋" w:eastAsia="仿宋" w:cs="仿宋"/>
              </w:rPr>
              <w:t>30分</w:t>
            </w:r>
          </w:p>
        </w:tc>
        <w:tc>
          <w:tcPr>
            <w:tcW w:w="459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A1146C9">
            <w:pPr>
              <w:pStyle w:val="11"/>
              <w:adjustRightInd w:val="0"/>
              <w:snapToGrid w:val="0"/>
              <w:spacing w:after="0" w:line="260" w:lineRule="exact"/>
              <w:jc w:val="both"/>
              <w:rPr>
                <w:rFonts w:ascii="仿宋" w:hAnsi="仿宋" w:eastAsia="仿宋" w:cs="仿宋"/>
              </w:rPr>
            </w:pPr>
            <w:r>
              <w:rPr>
                <w:rFonts w:hint="eastAsia" w:ascii="仿宋" w:hAnsi="仿宋" w:eastAsia="仿宋" w:cs="仿宋"/>
              </w:rPr>
              <w:t>投标报价得分=（评标基准价/投标报价）×100×30%</w:t>
            </w:r>
          </w:p>
          <w:p w14:paraId="2BC19CBE">
            <w:pPr>
              <w:pStyle w:val="11"/>
              <w:adjustRightInd w:val="0"/>
              <w:snapToGrid w:val="0"/>
              <w:spacing w:line="260" w:lineRule="exact"/>
              <w:jc w:val="both"/>
              <w:rPr>
                <w:rFonts w:ascii="仿宋" w:hAnsi="仿宋" w:eastAsia="仿宋" w:cs="仿宋"/>
              </w:rPr>
            </w:pPr>
            <w:r>
              <w:rPr>
                <w:rFonts w:hint="eastAsia" w:ascii="仿宋" w:hAnsi="仿宋" w:eastAsia="仿宋" w:cs="仿宋"/>
              </w:rPr>
              <w:t>备注：评标基准价为满足招标文件要求且价格最低的投标报价。</w:t>
            </w:r>
          </w:p>
        </w:tc>
      </w:tr>
      <w:tr w14:paraId="27FF81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81" w:hRule="atLeast"/>
          <w:jc w:val="center"/>
        </w:trPr>
        <w:tc>
          <w:tcPr>
            <w:tcW w:w="709" w:type="dxa"/>
            <w:vMerge w:val="restart"/>
            <w:tcBorders>
              <w:top w:val="nil"/>
              <w:left w:val="single" w:color="auto" w:sz="6" w:space="0"/>
              <w:right w:val="single" w:color="auto" w:sz="6" w:space="0"/>
            </w:tcBorders>
            <w:shd w:val="clear" w:color="auto" w:fill="auto"/>
            <w:tcMar>
              <w:left w:w="105" w:type="dxa"/>
              <w:right w:w="105" w:type="dxa"/>
            </w:tcMar>
            <w:vAlign w:val="center"/>
          </w:tcPr>
          <w:p w14:paraId="46D7CE3D">
            <w:pPr>
              <w:pStyle w:val="11"/>
              <w:adjustRightInd w:val="0"/>
              <w:snapToGrid w:val="0"/>
              <w:spacing w:line="560" w:lineRule="exact"/>
              <w:jc w:val="center"/>
              <w:rPr>
                <w:rFonts w:ascii="仿宋" w:hAnsi="仿宋" w:eastAsia="仿宋" w:cs="仿宋"/>
              </w:rPr>
            </w:pPr>
            <w:r>
              <w:rPr>
                <w:rFonts w:hint="eastAsia" w:ascii="仿宋" w:hAnsi="仿宋" w:eastAsia="仿宋" w:cs="仿宋"/>
              </w:rPr>
              <w:t>2</w:t>
            </w:r>
          </w:p>
        </w:tc>
        <w:tc>
          <w:tcPr>
            <w:tcW w:w="915" w:type="dxa"/>
            <w:vMerge w:val="restart"/>
            <w:tcBorders>
              <w:top w:val="nil"/>
              <w:left w:val="single" w:color="auto" w:sz="6" w:space="0"/>
              <w:right w:val="single" w:color="auto" w:sz="6" w:space="0"/>
            </w:tcBorders>
            <w:shd w:val="clear" w:color="auto" w:fill="auto"/>
            <w:tcMar>
              <w:left w:w="105" w:type="dxa"/>
              <w:right w:w="105" w:type="dxa"/>
            </w:tcMar>
            <w:vAlign w:val="center"/>
          </w:tcPr>
          <w:p w14:paraId="4CCA0F85">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技术部分</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951F9D">
            <w:pPr>
              <w:pStyle w:val="11"/>
              <w:adjustRightInd w:val="0"/>
              <w:snapToGrid w:val="0"/>
              <w:spacing w:line="560" w:lineRule="exact"/>
              <w:jc w:val="center"/>
              <w:rPr>
                <w:rFonts w:ascii="仿宋" w:hAnsi="仿宋" w:eastAsia="仿宋" w:cs="仿宋"/>
              </w:rPr>
            </w:pPr>
            <w:r>
              <w:rPr>
                <w:rFonts w:hint="eastAsia" w:ascii="仿宋" w:hAnsi="仿宋" w:eastAsia="仿宋" w:cs="仿宋"/>
              </w:rPr>
              <w:t>实施方案</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21602201">
            <w:pPr>
              <w:pStyle w:val="11"/>
              <w:adjustRightInd w:val="0"/>
              <w:snapToGrid w:val="0"/>
              <w:spacing w:line="560" w:lineRule="exact"/>
              <w:jc w:val="center"/>
              <w:rPr>
                <w:rFonts w:ascii="仿宋" w:hAnsi="仿宋" w:eastAsia="仿宋" w:cs="仿宋"/>
              </w:rPr>
            </w:pPr>
            <w:r>
              <w:rPr>
                <w:rFonts w:hint="eastAsia" w:ascii="仿宋" w:hAnsi="仿宋" w:eastAsia="仿宋" w:cs="仿宋"/>
              </w:rPr>
              <w:t>25分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56BE5993">
            <w:pPr>
              <w:pStyle w:val="11"/>
              <w:adjustRightInd w:val="0"/>
              <w:snapToGrid w:val="0"/>
              <w:spacing w:after="0" w:line="260" w:lineRule="exact"/>
              <w:jc w:val="both"/>
              <w:rPr>
                <w:rFonts w:ascii="仿宋" w:hAnsi="仿宋" w:eastAsia="仿宋" w:cs="仿宋"/>
              </w:rPr>
            </w:pPr>
            <w:r>
              <w:rPr>
                <w:rFonts w:hint="eastAsia" w:ascii="仿宋" w:hAnsi="仿宋" w:eastAsia="仿宋" w:cs="仿宋"/>
              </w:rPr>
              <w:t>1.方案详细完整、合理可行性好，充分考虑采购人的实际使用需求，满足采购人实际使用需求的，得25分；</w:t>
            </w:r>
          </w:p>
          <w:p w14:paraId="695BC1A9">
            <w:pPr>
              <w:pStyle w:val="11"/>
              <w:adjustRightInd w:val="0"/>
              <w:snapToGrid w:val="0"/>
              <w:spacing w:after="0" w:line="260" w:lineRule="exact"/>
              <w:jc w:val="both"/>
              <w:rPr>
                <w:rFonts w:ascii="仿宋" w:hAnsi="仿宋" w:eastAsia="仿宋" w:cs="仿宋"/>
              </w:rPr>
            </w:pPr>
            <w:r>
              <w:rPr>
                <w:rFonts w:hint="eastAsia" w:ascii="仿宋" w:hAnsi="仿宋" w:eastAsia="仿宋" w:cs="仿宋"/>
              </w:rPr>
              <w:t>2.方案详细完整、合理可行性一般，未能充分考虑采购人的实际使用需求，基本满足采购人实际使用需求的，得15分；</w:t>
            </w:r>
          </w:p>
          <w:p w14:paraId="00ACC34F">
            <w:pPr>
              <w:pStyle w:val="11"/>
              <w:adjustRightInd w:val="0"/>
              <w:snapToGrid w:val="0"/>
              <w:spacing w:after="0" w:line="260" w:lineRule="exact"/>
              <w:jc w:val="both"/>
              <w:rPr>
                <w:rFonts w:ascii="仿宋" w:hAnsi="仿宋" w:eastAsia="仿宋" w:cs="仿宋"/>
              </w:rPr>
            </w:pPr>
            <w:r>
              <w:rPr>
                <w:rFonts w:hint="eastAsia" w:ascii="仿宋" w:hAnsi="仿宋" w:eastAsia="仿宋" w:cs="仿宋"/>
              </w:rPr>
              <w:t>3.方案详细完整、合理可行性差，未能充分考虑采购人的实际使用需求，不能满足采购人实际使用需求的，得5分；</w:t>
            </w:r>
          </w:p>
          <w:p w14:paraId="6B2A9F73">
            <w:pPr>
              <w:pStyle w:val="11"/>
              <w:adjustRightInd w:val="0"/>
              <w:snapToGrid w:val="0"/>
              <w:spacing w:after="0" w:line="260" w:lineRule="exact"/>
              <w:jc w:val="both"/>
              <w:rPr>
                <w:rFonts w:ascii="仿宋" w:hAnsi="仿宋" w:eastAsia="仿宋" w:cs="仿宋"/>
              </w:rPr>
            </w:pPr>
            <w:r>
              <w:rPr>
                <w:rFonts w:hint="eastAsia" w:ascii="仿宋" w:hAnsi="仿宋" w:eastAsia="仿宋" w:cs="仿宋"/>
              </w:rPr>
              <w:t>4.没有提供方案的不得分。</w:t>
            </w:r>
          </w:p>
        </w:tc>
      </w:tr>
      <w:tr w14:paraId="7651EA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23" w:hRule="atLeast"/>
          <w:jc w:val="center"/>
        </w:trPr>
        <w:tc>
          <w:tcPr>
            <w:tcW w:w="709"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30F03B86">
            <w:pPr>
              <w:widowControl/>
              <w:adjustRightInd w:val="0"/>
              <w:snapToGrid w:val="0"/>
              <w:spacing w:line="560" w:lineRule="exact"/>
              <w:rPr>
                <w:rFonts w:ascii="仿宋" w:hAnsi="仿宋" w:eastAsia="仿宋" w:cs="仿宋"/>
                <w:sz w:val="24"/>
                <w:szCs w:val="24"/>
              </w:rPr>
            </w:pPr>
          </w:p>
        </w:tc>
        <w:tc>
          <w:tcPr>
            <w:tcW w:w="915"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0EF1EE09">
            <w:pPr>
              <w:widowControl/>
              <w:adjustRightInd w:val="0"/>
              <w:snapToGrid w:val="0"/>
              <w:spacing w:line="560" w:lineRule="exact"/>
              <w:rPr>
                <w:rFonts w:ascii="仿宋" w:hAnsi="仿宋" w:eastAsia="仿宋" w:cs="仿宋"/>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DE231B">
            <w:pPr>
              <w:pStyle w:val="11"/>
              <w:adjustRightInd w:val="0"/>
              <w:snapToGrid w:val="0"/>
              <w:spacing w:line="560" w:lineRule="exact"/>
              <w:jc w:val="center"/>
              <w:rPr>
                <w:rFonts w:ascii="仿宋" w:hAnsi="仿宋" w:eastAsia="仿宋" w:cs="仿宋"/>
              </w:rPr>
            </w:pPr>
            <w:r>
              <w:rPr>
                <w:rFonts w:hint="eastAsia" w:ascii="仿宋" w:hAnsi="仿宋" w:eastAsia="仿宋" w:cs="仿宋"/>
              </w:rPr>
              <w:t>理赔时效</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5406EA08">
            <w:pPr>
              <w:pStyle w:val="11"/>
              <w:adjustRightInd w:val="0"/>
              <w:snapToGrid w:val="0"/>
              <w:spacing w:line="560" w:lineRule="exact"/>
              <w:jc w:val="center"/>
              <w:rPr>
                <w:rFonts w:ascii="仿宋" w:hAnsi="仿宋" w:eastAsia="仿宋" w:cs="仿宋"/>
              </w:rPr>
            </w:pPr>
            <w:r>
              <w:rPr>
                <w:rFonts w:hint="eastAsia" w:ascii="仿宋" w:hAnsi="仿宋" w:eastAsia="仿宋" w:cs="仿宋"/>
              </w:rPr>
              <w:t>10分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285D7A79">
            <w:pPr>
              <w:pStyle w:val="11"/>
              <w:adjustRightInd w:val="0"/>
              <w:snapToGrid w:val="0"/>
              <w:spacing w:after="0" w:line="260" w:lineRule="exact"/>
              <w:jc w:val="both"/>
              <w:rPr>
                <w:rFonts w:ascii="仿宋" w:hAnsi="仿宋" w:eastAsia="仿宋" w:cs="仿宋"/>
              </w:rPr>
            </w:pPr>
            <w:r>
              <w:rPr>
                <w:rFonts w:hint="eastAsia" w:ascii="仿宋" w:hAnsi="仿宋" w:eastAsia="仿宋" w:cs="仿宋"/>
              </w:rPr>
              <w:t>投标人提供2025年的理赔统计数据进行评价：</w:t>
            </w:r>
          </w:p>
          <w:p w14:paraId="4444AE61">
            <w:pPr>
              <w:pStyle w:val="11"/>
              <w:adjustRightInd w:val="0"/>
              <w:snapToGrid w:val="0"/>
              <w:spacing w:after="0" w:line="260" w:lineRule="exact"/>
              <w:jc w:val="both"/>
              <w:rPr>
                <w:rFonts w:ascii="仿宋" w:hAnsi="仿宋" w:eastAsia="仿宋" w:cs="仿宋"/>
              </w:rPr>
            </w:pPr>
            <w:r>
              <w:rPr>
                <w:rFonts w:hint="eastAsia" w:ascii="仿宋" w:hAnsi="仿宋" w:eastAsia="仿宋" w:cs="仿宋"/>
              </w:rPr>
              <w:t>1.7个工作日内（含7个工作日）完成理赔手续并赔付的，得10分；</w:t>
            </w:r>
          </w:p>
          <w:p w14:paraId="065FA0B3">
            <w:pPr>
              <w:pStyle w:val="11"/>
              <w:adjustRightInd w:val="0"/>
              <w:snapToGrid w:val="0"/>
              <w:spacing w:after="0" w:line="260" w:lineRule="exact"/>
              <w:jc w:val="both"/>
              <w:rPr>
                <w:rFonts w:ascii="仿宋" w:hAnsi="仿宋" w:eastAsia="仿宋" w:cs="仿宋"/>
              </w:rPr>
            </w:pPr>
            <w:r>
              <w:rPr>
                <w:rFonts w:hint="eastAsia" w:ascii="仿宋" w:hAnsi="仿宋" w:eastAsia="仿宋" w:cs="仿宋"/>
              </w:rPr>
              <w:t>2.7-14个工作日（含14个工作日）完成理赔手续并赔付的，得7分；</w:t>
            </w:r>
          </w:p>
          <w:p w14:paraId="2B91AE9F">
            <w:pPr>
              <w:pStyle w:val="11"/>
              <w:numPr>
                <w:ilvl w:val="0"/>
                <w:numId w:val="2"/>
              </w:numPr>
              <w:adjustRightInd w:val="0"/>
              <w:snapToGrid w:val="0"/>
              <w:spacing w:after="0" w:line="260" w:lineRule="exact"/>
              <w:jc w:val="both"/>
              <w:rPr>
                <w:rFonts w:ascii="仿宋" w:hAnsi="仿宋" w:eastAsia="仿宋" w:cs="仿宋"/>
              </w:rPr>
            </w:pPr>
            <w:r>
              <w:rPr>
                <w:rFonts w:hint="eastAsia" w:ascii="仿宋" w:hAnsi="仿宋" w:eastAsia="仿宋" w:cs="仿宋"/>
              </w:rPr>
              <w:t>超过14个工作日理赔手续并赔付的，得3分；</w:t>
            </w:r>
          </w:p>
          <w:p w14:paraId="34BDA6BB">
            <w:pPr>
              <w:pStyle w:val="11"/>
              <w:adjustRightInd w:val="0"/>
              <w:snapToGrid w:val="0"/>
              <w:spacing w:after="0" w:line="260" w:lineRule="exact"/>
              <w:jc w:val="both"/>
              <w:rPr>
                <w:rFonts w:ascii="仿宋" w:hAnsi="仿宋" w:eastAsia="仿宋" w:cs="仿宋"/>
              </w:rPr>
            </w:pPr>
            <w:r>
              <w:rPr>
                <w:rFonts w:hint="eastAsia" w:ascii="仿宋" w:hAnsi="仿宋" w:eastAsia="仿宋" w:cs="仿宋"/>
              </w:rPr>
              <w:t>4.没有提供的得0分</w:t>
            </w:r>
          </w:p>
        </w:tc>
      </w:tr>
      <w:tr w14:paraId="569330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709" w:type="dxa"/>
            <w:vMerge w:val="restart"/>
            <w:tcBorders>
              <w:top w:val="nil"/>
              <w:left w:val="single" w:color="auto" w:sz="6" w:space="0"/>
              <w:right w:val="single" w:color="auto" w:sz="6" w:space="0"/>
            </w:tcBorders>
            <w:shd w:val="clear" w:color="auto" w:fill="auto"/>
            <w:tcMar>
              <w:left w:w="105" w:type="dxa"/>
              <w:right w:w="105" w:type="dxa"/>
            </w:tcMar>
            <w:vAlign w:val="center"/>
          </w:tcPr>
          <w:p w14:paraId="761C6E31">
            <w:pPr>
              <w:pStyle w:val="11"/>
              <w:adjustRightInd w:val="0"/>
              <w:snapToGrid w:val="0"/>
              <w:spacing w:line="560" w:lineRule="exact"/>
              <w:jc w:val="center"/>
              <w:rPr>
                <w:rFonts w:ascii="仿宋" w:hAnsi="仿宋" w:eastAsia="仿宋" w:cs="仿宋"/>
              </w:rPr>
            </w:pPr>
            <w:r>
              <w:rPr>
                <w:rFonts w:hint="eastAsia" w:ascii="仿宋" w:hAnsi="仿宋" w:eastAsia="仿宋" w:cs="仿宋"/>
              </w:rPr>
              <w:t>3</w:t>
            </w:r>
          </w:p>
        </w:tc>
        <w:tc>
          <w:tcPr>
            <w:tcW w:w="915" w:type="dxa"/>
            <w:vMerge w:val="restart"/>
            <w:tcBorders>
              <w:top w:val="nil"/>
              <w:left w:val="single" w:color="auto" w:sz="6" w:space="0"/>
              <w:right w:val="single" w:color="auto" w:sz="6" w:space="0"/>
            </w:tcBorders>
            <w:shd w:val="clear" w:color="auto" w:fill="auto"/>
            <w:tcMar>
              <w:left w:w="105" w:type="dxa"/>
              <w:right w:w="105" w:type="dxa"/>
            </w:tcMar>
            <w:vAlign w:val="center"/>
          </w:tcPr>
          <w:p w14:paraId="2CDD523D">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商务部分</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AFE138">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经营业绩</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67B9A388">
            <w:pPr>
              <w:pStyle w:val="11"/>
              <w:adjustRightInd w:val="0"/>
              <w:snapToGrid w:val="0"/>
              <w:spacing w:line="560" w:lineRule="exact"/>
              <w:jc w:val="center"/>
              <w:rPr>
                <w:rFonts w:ascii="仿宋" w:hAnsi="仿宋" w:eastAsia="仿宋" w:cs="仿宋"/>
              </w:rPr>
            </w:pPr>
            <w:r>
              <w:rPr>
                <w:rFonts w:hint="eastAsia" w:ascii="仿宋" w:hAnsi="仿宋" w:eastAsia="仿宋" w:cs="仿宋"/>
              </w:rPr>
              <w:t>10分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0952AC46">
            <w:pPr>
              <w:pStyle w:val="11"/>
              <w:adjustRightInd w:val="0"/>
              <w:snapToGrid w:val="0"/>
              <w:spacing w:after="0" w:line="260" w:lineRule="atLeast"/>
              <w:jc w:val="both"/>
              <w:rPr>
                <w:rFonts w:ascii="仿宋" w:hAnsi="仿宋" w:eastAsia="仿宋" w:cs="仿宋"/>
              </w:rPr>
            </w:pPr>
            <w:r>
              <w:rPr>
                <w:rFonts w:hint="eastAsia" w:ascii="仿宋" w:hAnsi="仿宋" w:eastAsia="仿宋" w:cs="仿宋"/>
              </w:rPr>
              <w:t>各投标供应商202</w:t>
            </w:r>
            <w:r>
              <w:rPr>
                <w:rFonts w:hint="eastAsia" w:ascii="仿宋" w:hAnsi="仿宋" w:eastAsia="仿宋" w:cs="仿宋"/>
                <w:lang w:val="en-US" w:eastAsia="zh-CN"/>
              </w:rPr>
              <w:t>3</w:t>
            </w:r>
            <w:r>
              <w:rPr>
                <w:rFonts w:hint="eastAsia" w:ascii="仿宋" w:hAnsi="仿宋" w:eastAsia="仿宋" w:cs="仿宋"/>
              </w:rPr>
              <w:t>年以来的相关学生险、校园责任险、团体意外险项目。</w:t>
            </w:r>
          </w:p>
          <w:p w14:paraId="27763689">
            <w:pPr>
              <w:pStyle w:val="11"/>
              <w:adjustRightInd w:val="0"/>
              <w:snapToGrid w:val="0"/>
              <w:spacing w:after="0" w:line="260" w:lineRule="atLeast"/>
              <w:jc w:val="both"/>
              <w:rPr>
                <w:rFonts w:ascii="仿宋" w:hAnsi="仿宋" w:eastAsia="仿宋" w:cs="仿宋"/>
              </w:rPr>
            </w:pPr>
            <w:r>
              <w:rPr>
                <w:rFonts w:hint="eastAsia" w:ascii="仿宋" w:hAnsi="仿宋" w:eastAsia="仿宋" w:cs="仿宋"/>
              </w:rPr>
              <w:t>每提供一个项目业绩得2分，同一单位不同年度，可视为不同项目。本项最高得10分。投标供应商应在投标文件中提供相关业绩的合同或中标通知书等证明文件复印件（加盖公章），否则不得分。如果投标人为分支机构的，只计算该分支机构的上述合同业绩。</w:t>
            </w:r>
          </w:p>
        </w:tc>
      </w:tr>
      <w:tr w14:paraId="19AAA9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38" w:hRule="atLeast"/>
          <w:jc w:val="center"/>
        </w:trPr>
        <w:tc>
          <w:tcPr>
            <w:tcW w:w="709" w:type="dxa"/>
            <w:vMerge w:val="continue"/>
            <w:tcBorders>
              <w:left w:val="single" w:color="auto" w:sz="6" w:space="0"/>
              <w:right w:val="single" w:color="auto" w:sz="6" w:space="0"/>
            </w:tcBorders>
            <w:shd w:val="clear" w:color="auto" w:fill="auto"/>
            <w:tcMar>
              <w:left w:w="105" w:type="dxa"/>
              <w:right w:w="105" w:type="dxa"/>
            </w:tcMar>
            <w:vAlign w:val="center"/>
          </w:tcPr>
          <w:p w14:paraId="5BDC9EFF">
            <w:pPr>
              <w:widowControl/>
              <w:adjustRightInd w:val="0"/>
              <w:snapToGrid w:val="0"/>
              <w:spacing w:line="560" w:lineRule="exact"/>
              <w:jc w:val="center"/>
              <w:rPr>
                <w:rFonts w:ascii="仿宋" w:hAnsi="仿宋" w:eastAsia="仿宋" w:cs="仿宋"/>
                <w:kern w:val="0"/>
                <w:sz w:val="24"/>
                <w:szCs w:val="24"/>
                <w:lang w:bidi="ar"/>
              </w:rPr>
            </w:pPr>
          </w:p>
        </w:tc>
        <w:tc>
          <w:tcPr>
            <w:tcW w:w="915" w:type="dxa"/>
            <w:vMerge w:val="continue"/>
            <w:tcBorders>
              <w:left w:val="single" w:color="auto" w:sz="6" w:space="0"/>
              <w:right w:val="single" w:color="auto" w:sz="6" w:space="0"/>
            </w:tcBorders>
            <w:shd w:val="clear" w:color="auto" w:fill="auto"/>
            <w:tcMar>
              <w:left w:w="105" w:type="dxa"/>
              <w:right w:w="105" w:type="dxa"/>
            </w:tcMar>
            <w:vAlign w:val="center"/>
          </w:tcPr>
          <w:p w14:paraId="0BE82E77">
            <w:pPr>
              <w:widowControl/>
              <w:adjustRightInd w:val="0"/>
              <w:snapToGrid w:val="0"/>
              <w:spacing w:line="560" w:lineRule="exact"/>
              <w:rPr>
                <w:rFonts w:ascii="仿宋" w:hAnsi="仿宋" w:eastAsia="仿宋" w:cs="仿宋"/>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946BC">
            <w:pPr>
              <w:widowControl/>
              <w:adjustRightInd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本项目服务网点人员的配备</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43120531">
            <w:pPr>
              <w:pStyle w:val="11"/>
              <w:adjustRightInd w:val="0"/>
              <w:snapToGrid w:val="0"/>
              <w:spacing w:line="560" w:lineRule="exact"/>
              <w:jc w:val="center"/>
              <w:rPr>
                <w:rFonts w:ascii="仿宋" w:hAnsi="仿宋" w:eastAsia="仿宋" w:cs="仿宋"/>
              </w:rPr>
            </w:pPr>
            <w:r>
              <w:rPr>
                <w:rFonts w:hint="eastAsia" w:ascii="仿宋" w:hAnsi="仿宋" w:eastAsia="仿宋" w:cs="仿宋"/>
              </w:rPr>
              <w:t>10分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795C19DB">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投标人拟投入本项目的服务人员：</w:t>
            </w:r>
          </w:p>
          <w:p w14:paraId="5505CB79">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1.提供人员8人（含）以上，得10分；</w:t>
            </w:r>
          </w:p>
          <w:p w14:paraId="7125A49B">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2.提供人员5人（含）以上，得5分；</w:t>
            </w:r>
          </w:p>
          <w:p w14:paraId="6DA859FC">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3.提供人员3人（含）以上，得3分；</w:t>
            </w:r>
          </w:p>
          <w:p w14:paraId="744B9878">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4.提供人员3人以下，得0分；</w:t>
            </w:r>
          </w:p>
          <w:p w14:paraId="6FA7A116">
            <w:pPr>
              <w:pStyle w:val="11"/>
              <w:adjustRightInd w:val="0"/>
              <w:snapToGrid w:val="0"/>
              <w:spacing w:after="0" w:line="260" w:lineRule="atLeast"/>
              <w:jc w:val="both"/>
              <w:rPr>
                <w:rFonts w:ascii="仿宋" w:hAnsi="仿宋" w:eastAsia="仿宋" w:cs="仿宋"/>
              </w:rPr>
            </w:pPr>
            <w:r>
              <w:rPr>
                <w:rFonts w:hint="eastAsia" w:ascii="仿宋" w:hAnsi="仿宋" w:eastAsia="仿宋" w:cs="仿宋"/>
              </w:rPr>
              <w:t>投标人应在投标文件中提供相关人员2025年-2026年5月中任意三个月的社保，不提供不得分。</w:t>
            </w:r>
          </w:p>
        </w:tc>
      </w:tr>
      <w:tr w14:paraId="2A0C43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709"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25C7171B">
            <w:pPr>
              <w:widowControl/>
              <w:adjustRightInd w:val="0"/>
              <w:snapToGrid w:val="0"/>
              <w:spacing w:line="560" w:lineRule="exact"/>
              <w:jc w:val="center"/>
              <w:rPr>
                <w:rFonts w:ascii="仿宋" w:hAnsi="仿宋" w:eastAsia="仿宋" w:cs="仿宋"/>
                <w:kern w:val="0"/>
                <w:sz w:val="24"/>
                <w:szCs w:val="24"/>
                <w:lang w:bidi="ar"/>
              </w:rPr>
            </w:pPr>
          </w:p>
        </w:tc>
        <w:tc>
          <w:tcPr>
            <w:tcW w:w="915"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22034452">
            <w:pPr>
              <w:widowControl/>
              <w:adjustRightInd w:val="0"/>
              <w:snapToGrid w:val="0"/>
              <w:spacing w:line="560" w:lineRule="exact"/>
              <w:rPr>
                <w:rFonts w:ascii="仿宋" w:hAnsi="仿宋" w:eastAsia="仿宋" w:cs="仿宋"/>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6B898">
            <w:pPr>
              <w:widowControl/>
              <w:adjustRightInd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投标人企业偿付能力</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08AB0791">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15分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1C8FD24F">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2025年综合偿付能力充足率在250%以上（含250%）的，得15分；在200%-250%（含200%）的，得10分；在150%-200%（含150%）的，得5分；低于150%的，得2分。</w:t>
            </w:r>
          </w:p>
          <w:p w14:paraId="38E7580A">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上述得分需提供经第三方审计的偿付能力报告，不提供不得分。</w:t>
            </w:r>
          </w:p>
        </w:tc>
      </w:tr>
    </w:tbl>
    <w:p w14:paraId="6A7DAFE7">
      <w:pPr>
        <w:pStyle w:val="12"/>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第三章 响应文件资料组成及相关要求</w:t>
      </w:r>
    </w:p>
    <w:p w14:paraId="47AF82B9">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1.封面（注明参与投标项目名称、单位、联系人、联系电话、正本或副本等信息）加盖公章，贴在密封袋面和投标文件封面（详见附件1）</w:t>
      </w:r>
    </w:p>
    <w:p w14:paraId="56E94D09">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2.投标资质证明文件</w:t>
      </w:r>
    </w:p>
    <w:p w14:paraId="7ED0E7A7">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①投标人资格声明函（详见附件2）</w:t>
      </w:r>
    </w:p>
    <w:p w14:paraId="086FF4EE">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②无重大违法记录声明函（详见附件3）</w:t>
      </w:r>
    </w:p>
    <w:p w14:paraId="280997FC">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③有效的营业执照（或事业法人登记证或身份证等相关证明）复印件</w:t>
      </w:r>
    </w:p>
    <w:p w14:paraId="206C79BC">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④法定代表人（或经营者）身份证复印件和经营保险业务许可证</w:t>
      </w:r>
    </w:p>
    <w:p w14:paraId="378B2D92">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3.服务承诺书包括供货时效、送货服务、产品质量服务、售后服务等（详见附件4）</w:t>
      </w:r>
    </w:p>
    <w:p w14:paraId="1E061B8A">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4.项目报价表（详见附件5）</w:t>
      </w:r>
    </w:p>
    <w:p w14:paraId="56CE159D">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5.实施方案</w:t>
      </w:r>
    </w:p>
    <w:p w14:paraId="1F0EFD1A">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6.理赔时效</w:t>
      </w:r>
    </w:p>
    <w:p w14:paraId="3F54ED72">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7.经营业绩</w:t>
      </w:r>
    </w:p>
    <w:p w14:paraId="123F9573">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8.人员的配备</w:t>
      </w:r>
    </w:p>
    <w:p w14:paraId="62BD1958">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9.偿付能力报告</w:t>
      </w:r>
    </w:p>
    <w:p w14:paraId="438D3237">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响应文件所有材料须加盖公章，一正本两副本，三份各自独立密封，在封面显著位置清楚标明“正本”或“副本”字样。如正本和副本内容不一致以正本书面文件为准。A4纸规格，加盖公章，顺序装订。密封文件袋须用封条密封加盖公章。</w:t>
      </w:r>
    </w:p>
    <w:p w14:paraId="004EA49A">
      <w:pPr>
        <w:widowControl/>
        <w:spacing w:line="360" w:lineRule="auto"/>
        <w:ind w:firstLine="548" w:firstLineChars="196"/>
        <w:jc w:val="lef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color w:val="FF0000"/>
          <w:kern w:val="0"/>
          <w:sz w:val="28"/>
          <w:szCs w:val="28"/>
        </w:rPr>
        <w:t>注：投标人可根据项目需求内容添加响应文件资料。</w:t>
      </w:r>
    </w:p>
    <w:p w14:paraId="4343E53D"/>
    <w:p w14:paraId="7AB80287">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166E46E6">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1D5FDC6F">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0BD9C0F">
      <w:pPr>
        <w:spacing w:line="240" w:lineRule="atLeast"/>
        <w:jc w:val="center"/>
        <w:rPr>
          <w:rFonts w:cs="Helvetica" w:asciiTheme="minorEastAsia" w:hAnsiTheme="minorEastAsia" w:eastAsiaTheme="minorEastAsia"/>
          <w:b/>
          <w:color w:val="FF0000"/>
          <w:kern w:val="0"/>
          <w:sz w:val="52"/>
          <w:szCs w:val="52"/>
          <w:u w:val="single"/>
        </w:rPr>
      </w:pPr>
    </w:p>
    <w:p w14:paraId="41BEFF6F">
      <w:pPr>
        <w:spacing w:line="240" w:lineRule="atLeas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w:t>
      </w:r>
      <w:r>
        <w:rPr>
          <w:rFonts w:cs="Helvetica" w:asciiTheme="minorEastAsia" w:hAnsiTheme="minorEastAsia" w:eastAsiaTheme="minorEastAsia"/>
          <w:b/>
          <w:kern w:val="0"/>
          <w:sz w:val="52"/>
          <w:szCs w:val="52"/>
          <w:u w:val="single"/>
        </w:rPr>
        <w:t>门市技师学院</w:t>
      </w:r>
    </w:p>
    <w:p w14:paraId="4109ACA5">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2026年校方责任保险、校方无责任保险</w:t>
      </w:r>
    </w:p>
    <w:p w14:paraId="35A5419C">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采购项目</w:t>
      </w:r>
      <w:r>
        <w:rPr>
          <w:rFonts w:hint="eastAsia" w:cs="Helvetica" w:asciiTheme="minorEastAsia" w:hAnsiTheme="minorEastAsia" w:eastAsiaTheme="minorEastAsia"/>
          <w:b/>
          <w:kern w:val="0"/>
          <w:sz w:val="52"/>
          <w:szCs w:val="52"/>
          <w:u w:val="single"/>
          <w:lang w:eastAsia="zh-CN"/>
        </w:rPr>
        <w:t>（</w:t>
      </w:r>
      <w:r>
        <w:rPr>
          <w:rFonts w:hint="eastAsia" w:cs="Helvetica" w:asciiTheme="minorEastAsia" w:hAnsiTheme="minorEastAsia" w:eastAsiaTheme="minorEastAsia"/>
          <w:b/>
          <w:kern w:val="0"/>
          <w:sz w:val="52"/>
          <w:szCs w:val="52"/>
          <w:u w:val="single"/>
          <w:lang w:val="en-US" w:eastAsia="zh-CN"/>
        </w:rPr>
        <w:t>第二次</w:t>
      </w:r>
      <w:r>
        <w:rPr>
          <w:rFonts w:hint="eastAsia" w:cs="Helvetica" w:asciiTheme="minorEastAsia" w:hAnsiTheme="minorEastAsia" w:eastAsiaTheme="minorEastAsia"/>
          <w:b/>
          <w:kern w:val="0"/>
          <w:sz w:val="52"/>
          <w:szCs w:val="52"/>
          <w:u w:val="single"/>
          <w:lang w:eastAsia="zh-CN"/>
        </w:rPr>
        <w:t>）</w:t>
      </w:r>
    </w:p>
    <w:p w14:paraId="6AE3DFDA">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项目编号：xsb-</w:t>
      </w:r>
      <w:r>
        <w:rPr>
          <w:rFonts w:hint="eastAsia" w:asciiTheme="minorEastAsia" w:hAnsiTheme="minorEastAsia" w:eastAsiaTheme="minorEastAsia"/>
          <w:b/>
          <w:sz w:val="28"/>
          <w:szCs w:val="28"/>
          <w:lang w:val="en-US" w:eastAsia="zh-CN"/>
        </w:rPr>
        <w:t>cgzx-</w:t>
      </w:r>
      <w:r>
        <w:rPr>
          <w:rFonts w:hint="eastAsia" w:asciiTheme="minorEastAsia" w:hAnsiTheme="minorEastAsia" w:eastAsiaTheme="minorEastAsia"/>
          <w:b/>
          <w:sz w:val="28"/>
          <w:szCs w:val="28"/>
        </w:rPr>
        <w:t>2026-</w:t>
      </w:r>
      <w:r>
        <w:rPr>
          <w:rFonts w:hint="eastAsia" w:asciiTheme="minorEastAsia" w:hAnsiTheme="minorEastAsia" w:eastAsiaTheme="minorEastAsia"/>
          <w:b/>
          <w:sz w:val="28"/>
          <w:szCs w:val="28"/>
          <w:lang w:val="en-US" w:eastAsia="zh-CN"/>
        </w:rPr>
        <w:t>17-01</w:t>
      </w:r>
    </w:p>
    <w:p w14:paraId="0F67DF42">
      <w:pPr>
        <w:spacing w:line="240" w:lineRule="atLeast"/>
        <w:jc w:val="center"/>
        <w:rPr>
          <w:rFonts w:asciiTheme="minorEastAsia" w:hAnsiTheme="minorEastAsia" w:eastAsiaTheme="minorEastAsia"/>
          <w:b/>
          <w:color w:val="000000"/>
          <w:sz w:val="44"/>
          <w:szCs w:val="44"/>
        </w:rPr>
      </w:pPr>
    </w:p>
    <w:p w14:paraId="1C049B78">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70836727">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71EDFCA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38411E5">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FD89F94">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7914CDA6">
      <w:pPr>
        <w:spacing w:line="240" w:lineRule="atLeast"/>
        <w:ind w:firstLine="320" w:firstLineChars="100"/>
        <w:jc w:val="center"/>
        <w:rPr>
          <w:rFonts w:asciiTheme="minorEastAsia" w:hAnsiTheme="minorEastAsia" w:eastAsiaTheme="minorEastAsia"/>
          <w:color w:val="000000"/>
          <w:sz w:val="32"/>
          <w:szCs w:val="32"/>
        </w:rPr>
      </w:pPr>
    </w:p>
    <w:p w14:paraId="20C029EC">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608B0B22">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0177F8">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45FE05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47ED63D">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F20832">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B58D9E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3E72CDCB">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25B5F51D">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79861E78">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4E26C5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B39D7D8">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45BD3A21">
      <w:pPr>
        <w:widowControl/>
        <w:jc w:val="left"/>
        <w:rPr>
          <w:rFonts w:asciiTheme="minorEastAsia" w:hAnsiTheme="minorEastAsia" w:eastAsiaTheme="minorEastAsia"/>
          <w:b/>
          <w:sz w:val="28"/>
          <w:szCs w:val="28"/>
        </w:rPr>
      </w:pPr>
    </w:p>
    <w:p w14:paraId="69EF860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AC3779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46451F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7B7256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13A92F0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23D0F58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1BBC152">
      <w:pPr>
        <w:spacing w:line="480" w:lineRule="auto"/>
        <w:rPr>
          <w:rFonts w:asciiTheme="minorEastAsia" w:hAnsiTheme="minorEastAsia" w:eastAsiaTheme="minorEastAsia"/>
          <w:sz w:val="28"/>
          <w:szCs w:val="28"/>
        </w:rPr>
      </w:pPr>
    </w:p>
    <w:p w14:paraId="6265B3C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73EA5E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DC6446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375AD2D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260B410E">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1D471B8E">
      <w:pPr>
        <w:tabs>
          <w:tab w:val="left" w:pos="3952"/>
        </w:tabs>
        <w:rPr>
          <w:rFonts w:asciiTheme="minorEastAsia" w:hAnsiTheme="minorEastAsia" w:eastAsiaTheme="minorEastAsia"/>
          <w:sz w:val="24"/>
        </w:rPr>
      </w:pPr>
    </w:p>
    <w:p w14:paraId="166E913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5A647A7">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1035FB50">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7D42053">
      <w:pPr>
        <w:spacing w:line="480" w:lineRule="auto"/>
        <w:rPr>
          <w:rFonts w:asciiTheme="minorEastAsia" w:hAnsiTheme="minorEastAsia" w:eastAsiaTheme="minorEastAsia"/>
          <w:sz w:val="28"/>
          <w:szCs w:val="28"/>
        </w:rPr>
      </w:pPr>
    </w:p>
    <w:p w14:paraId="7C809BDD">
      <w:pPr>
        <w:spacing w:line="480" w:lineRule="auto"/>
        <w:rPr>
          <w:rFonts w:asciiTheme="minorEastAsia" w:hAnsiTheme="minorEastAsia" w:eastAsiaTheme="minorEastAsia"/>
          <w:sz w:val="28"/>
          <w:szCs w:val="28"/>
        </w:rPr>
      </w:pPr>
    </w:p>
    <w:p w14:paraId="6271CD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7425D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1DD299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DC1C023">
      <w:pPr>
        <w:rPr>
          <w:rFonts w:asciiTheme="minorEastAsia" w:hAnsiTheme="minorEastAsia" w:eastAsiaTheme="minorEastAsia"/>
        </w:rPr>
      </w:pPr>
    </w:p>
    <w:p w14:paraId="7AB1AA2E">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7FF9A13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3218E4C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6DFDA48">
      <w:pPr>
        <w:rPr>
          <w:rFonts w:asciiTheme="minorEastAsia" w:hAnsiTheme="minorEastAsia" w:eastAsiaTheme="minorEastAsia"/>
        </w:rPr>
      </w:pPr>
    </w:p>
    <w:p w14:paraId="3467205F">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925C0F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74514B6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246DCCE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4E7AA9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CC696FC">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4F61D5DB">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06FAC24">
      <w:pPr>
        <w:pStyle w:val="12"/>
        <w:jc w:val="both"/>
        <w:rPr>
          <w:rFonts w:asciiTheme="minorEastAsia" w:hAnsiTheme="minorEastAsia" w:eastAsiaTheme="minorEastAsia"/>
          <w:b w:val="0"/>
          <w:bCs w:val="0"/>
          <w:sz w:val="30"/>
          <w:szCs w:val="20"/>
        </w:rPr>
      </w:pPr>
    </w:p>
    <w:p w14:paraId="59DBBE9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0FE6F6C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002206E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FABFECC">
      <w:pPr>
        <w:sectPr>
          <w:pgSz w:w="11906" w:h="16838"/>
          <w:pgMar w:top="1077" w:right="1077" w:bottom="1077" w:left="1264" w:header="851" w:footer="992" w:gutter="0"/>
          <w:cols w:space="425" w:num="1"/>
          <w:docGrid w:type="lines" w:linePitch="408" w:charSpace="0"/>
        </w:sectPr>
      </w:pPr>
    </w:p>
    <w:p w14:paraId="02FEB34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3865047D">
      <w:pPr>
        <w:jc w:val="center"/>
        <w:rPr>
          <w:rFonts w:asciiTheme="minorEastAsia" w:hAnsiTheme="minorEastAsia" w:eastAsiaTheme="minorEastAsia"/>
          <w:sz w:val="32"/>
          <w:szCs w:val="32"/>
        </w:rPr>
      </w:pPr>
      <w:r>
        <w:rPr>
          <w:rFonts w:hint="eastAsia" w:asciiTheme="minorEastAsia" w:hAnsiTheme="minorEastAsia" w:eastAsiaTheme="minorEastAsia"/>
          <w:b/>
          <w:sz w:val="32"/>
          <w:szCs w:val="32"/>
        </w:rPr>
        <w:t>江</w:t>
      </w:r>
      <w:r>
        <w:rPr>
          <w:rFonts w:asciiTheme="minorEastAsia" w:hAnsiTheme="minorEastAsia" w:eastAsiaTheme="minorEastAsia"/>
          <w:b/>
          <w:sz w:val="32"/>
          <w:szCs w:val="32"/>
        </w:rPr>
        <w:t>门市技师学院202</w:t>
      </w:r>
      <w:r>
        <w:rPr>
          <w:rFonts w:hint="eastAsia" w:asciiTheme="minorEastAsia" w:hAnsiTheme="minorEastAsia" w:eastAsiaTheme="minorEastAsia"/>
          <w:b/>
          <w:sz w:val="32"/>
          <w:szCs w:val="32"/>
        </w:rPr>
        <w:t>6</w:t>
      </w:r>
      <w:r>
        <w:rPr>
          <w:rFonts w:asciiTheme="minorEastAsia" w:hAnsiTheme="minorEastAsia" w:eastAsiaTheme="minorEastAsia"/>
          <w:b/>
          <w:sz w:val="32"/>
          <w:szCs w:val="32"/>
        </w:rPr>
        <w:t>年校方责任保险、校方无责任保险</w:t>
      </w:r>
      <w:r>
        <w:rPr>
          <w:rFonts w:hint="eastAsia" w:asciiTheme="minorEastAsia" w:hAnsiTheme="minorEastAsia" w:eastAsiaTheme="minorEastAsia"/>
          <w:b/>
          <w:sz w:val="32"/>
          <w:szCs w:val="32"/>
        </w:rPr>
        <w:t>项目</w:t>
      </w: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lang w:val="en-US" w:eastAsia="zh-CN"/>
        </w:rPr>
        <w:t>第二次</w:t>
      </w:r>
      <w:r>
        <w:rPr>
          <w:rFonts w:hint="eastAsia" w:asciiTheme="minorEastAsia" w:hAnsiTheme="minorEastAsia" w:eastAsiaTheme="minorEastAsia"/>
          <w:b/>
          <w:sz w:val="32"/>
          <w:szCs w:val="32"/>
          <w:lang w:eastAsia="zh-CN"/>
        </w:rPr>
        <w:t>）</w:t>
      </w:r>
      <w:r>
        <w:rPr>
          <w:rFonts w:asciiTheme="minorEastAsia" w:hAnsiTheme="minorEastAsia" w:eastAsiaTheme="minorEastAsia"/>
          <w:b/>
          <w:sz w:val="32"/>
          <w:szCs w:val="32"/>
        </w:rPr>
        <w:t>报价表</w:t>
      </w:r>
    </w:p>
    <w:p w14:paraId="245561BA">
      <w:pPr>
        <w:widowControl/>
        <w:ind w:left="300" w:hanging="300" w:hangingChars="125"/>
        <w:jc w:val="left"/>
        <w:rPr>
          <w:rFonts w:asciiTheme="minorEastAsia" w:hAnsiTheme="minorEastAsia" w:eastAsiaTheme="minorEastAsia"/>
          <w:sz w:val="24"/>
          <w:szCs w:val="24"/>
        </w:rPr>
      </w:pPr>
      <w:r>
        <w:rPr>
          <w:rFonts w:asciiTheme="minorEastAsia" w:hAnsiTheme="minorEastAsia" w:eastAsiaTheme="minorEastAsia"/>
          <w:sz w:val="24"/>
          <w:szCs w:val="24"/>
        </w:rPr>
        <w:t>报价单位：</w:t>
      </w:r>
    </w:p>
    <w:tbl>
      <w:tblPr>
        <w:tblStyle w:val="15"/>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942"/>
        <w:gridCol w:w="2106"/>
        <w:gridCol w:w="1354"/>
        <w:gridCol w:w="1477"/>
        <w:gridCol w:w="1226"/>
        <w:gridCol w:w="6465"/>
      </w:tblGrid>
      <w:tr w14:paraId="74D825E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42" w:type="dxa"/>
            <w:tcBorders>
              <w:top w:val="single" w:color="auto" w:sz="6" w:space="0"/>
              <w:left w:val="single" w:color="auto" w:sz="6" w:space="0"/>
              <w:bottom w:val="single" w:color="auto" w:sz="6" w:space="0"/>
              <w:right w:val="single" w:color="auto" w:sz="6" w:space="0"/>
            </w:tcBorders>
            <w:vAlign w:val="center"/>
          </w:tcPr>
          <w:p w14:paraId="6F6508C8">
            <w:pPr>
              <w:widowControl/>
              <w:jc w:val="center"/>
              <w:rPr>
                <w:rFonts w:ascii="宋体" w:hAnsi="宋体" w:eastAsia="宋体" w:cs="宋体"/>
                <w:sz w:val="24"/>
              </w:rPr>
            </w:pPr>
            <w:r>
              <w:rPr>
                <w:rFonts w:hint="eastAsia" w:ascii="宋体" w:hAnsi="宋体" w:eastAsia="宋体" w:cs="宋体"/>
                <w:sz w:val="24"/>
              </w:rPr>
              <w:t>项目名称</w:t>
            </w:r>
          </w:p>
        </w:tc>
        <w:tc>
          <w:tcPr>
            <w:tcW w:w="21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A6951D">
            <w:pPr>
              <w:widowControl/>
              <w:jc w:val="center"/>
              <w:rPr>
                <w:rFonts w:ascii="宋体" w:hAnsi="宋体" w:eastAsia="宋体" w:cs="宋体"/>
                <w:sz w:val="24"/>
              </w:rPr>
            </w:pPr>
            <w:r>
              <w:rPr>
                <w:rFonts w:hint="eastAsia" w:ascii="宋体" w:hAnsi="宋体" w:eastAsia="宋体" w:cs="宋体"/>
                <w:sz w:val="24"/>
              </w:rPr>
              <w:t>保费投标报价（元人民币/人/年）</w:t>
            </w:r>
          </w:p>
        </w:tc>
        <w:tc>
          <w:tcPr>
            <w:tcW w:w="13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0B02BB">
            <w:pPr>
              <w:widowControl/>
              <w:jc w:val="center"/>
              <w:rPr>
                <w:rFonts w:ascii="宋体" w:hAnsi="宋体" w:eastAsia="宋体" w:cs="宋体"/>
                <w:sz w:val="24"/>
              </w:rPr>
            </w:pPr>
            <w:r>
              <w:rPr>
                <w:rFonts w:hint="eastAsia" w:ascii="宋体" w:hAnsi="宋体" w:eastAsia="宋体" w:cs="宋体"/>
                <w:sz w:val="24"/>
              </w:rPr>
              <w:t>履行期限</w:t>
            </w:r>
          </w:p>
        </w:tc>
        <w:tc>
          <w:tcPr>
            <w:tcW w:w="147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6A2FE9">
            <w:pPr>
              <w:widowControl/>
              <w:jc w:val="center"/>
              <w:rPr>
                <w:rFonts w:ascii="宋体" w:hAnsi="宋体" w:eastAsia="宋体" w:cs="宋体"/>
                <w:sz w:val="24"/>
              </w:rPr>
            </w:pPr>
            <w:r>
              <w:rPr>
                <w:rFonts w:hint="eastAsia" w:ascii="宋体" w:hAnsi="宋体" w:eastAsia="宋体" w:cs="宋体"/>
                <w:sz w:val="24"/>
              </w:rPr>
              <w:t>险种</w:t>
            </w:r>
          </w:p>
        </w:tc>
        <w:tc>
          <w:tcPr>
            <w:tcW w:w="122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FB6DFA">
            <w:pPr>
              <w:widowControl/>
              <w:jc w:val="center"/>
              <w:rPr>
                <w:rFonts w:ascii="宋体" w:hAnsi="宋体" w:eastAsia="宋体" w:cs="宋体"/>
                <w:sz w:val="24"/>
              </w:rPr>
            </w:pPr>
            <w:r>
              <w:rPr>
                <w:rFonts w:hint="eastAsia" w:ascii="宋体" w:hAnsi="宋体" w:eastAsia="宋体" w:cs="宋体"/>
                <w:sz w:val="24"/>
              </w:rPr>
              <w:t>保险期限</w:t>
            </w:r>
          </w:p>
        </w:tc>
        <w:tc>
          <w:tcPr>
            <w:tcW w:w="64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1D9634">
            <w:pPr>
              <w:widowControl/>
              <w:jc w:val="center"/>
              <w:rPr>
                <w:rFonts w:ascii="宋体" w:hAnsi="宋体" w:eastAsia="宋体" w:cs="宋体"/>
                <w:sz w:val="24"/>
              </w:rPr>
            </w:pPr>
            <w:r>
              <w:rPr>
                <w:rFonts w:hint="eastAsia" w:ascii="宋体" w:hAnsi="宋体" w:eastAsia="宋体" w:cs="宋体"/>
                <w:sz w:val="24"/>
              </w:rPr>
              <w:t>保障项目</w:t>
            </w:r>
          </w:p>
        </w:tc>
      </w:tr>
      <w:tr w14:paraId="05B7D20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942" w:type="dxa"/>
            <w:vMerge w:val="restart"/>
            <w:tcBorders>
              <w:top w:val="nil"/>
              <w:left w:val="single" w:color="auto" w:sz="6" w:space="0"/>
              <w:right w:val="single" w:color="auto" w:sz="4" w:space="0"/>
            </w:tcBorders>
            <w:vAlign w:val="center"/>
          </w:tcPr>
          <w:p w14:paraId="55D8B068">
            <w:pPr>
              <w:widowControl/>
              <w:jc w:val="center"/>
              <w:rPr>
                <w:rFonts w:hint="eastAsia" w:ascii="仿宋" w:hAnsi="仿宋" w:eastAsia="宋体" w:cs="Arial"/>
                <w:kern w:val="0"/>
                <w:sz w:val="24"/>
                <w:szCs w:val="24"/>
                <w:lang w:eastAsia="zh-CN"/>
              </w:rPr>
            </w:pPr>
            <w:r>
              <w:rPr>
                <w:rFonts w:hint="eastAsia" w:ascii="宋体" w:hAnsi="宋体" w:eastAsia="宋体" w:cs="宋体"/>
                <w:color w:val="000000"/>
                <w:kern w:val="0"/>
                <w:sz w:val="24"/>
                <w:szCs w:val="24"/>
                <w:lang w:bidi="ar"/>
              </w:rPr>
              <w:t>2026年校方责任保险、校方无责任保险采购项目</w:t>
            </w:r>
            <w:bookmarkStart w:id="1" w:name="_GoBack"/>
            <w:bookmarkEnd w:id="1"/>
          </w:p>
        </w:tc>
        <w:tc>
          <w:tcPr>
            <w:tcW w:w="2106"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5FF0AFD6">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（小写金额）</w:t>
            </w:r>
          </w:p>
        </w:tc>
        <w:tc>
          <w:tcPr>
            <w:tcW w:w="1354"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362FE9B">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从合同签订生效之日起一年</w:t>
            </w:r>
          </w:p>
        </w:tc>
        <w:tc>
          <w:tcPr>
            <w:tcW w:w="147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56D99390">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校方责任保险、校方无责任保险</w:t>
            </w:r>
          </w:p>
        </w:tc>
        <w:tc>
          <w:tcPr>
            <w:tcW w:w="1226"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FB58C0F">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一年</w:t>
            </w:r>
          </w:p>
        </w:tc>
        <w:tc>
          <w:tcPr>
            <w:tcW w:w="6465" w:type="dxa"/>
            <w:vMerge w:val="restart"/>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14:paraId="5A41C374">
            <w:pPr>
              <w:widowControl/>
              <w:spacing w:line="36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1、校方责任保险： 每人每次赔偿限额50万； 每所学校每次事故赔偿限额500万；每所学校每年累计赔偿限额1500万元；每次事故每人财产损失赔偿限额2万元；每所学校每次事故财产损失赔偿限额100万元；每所学校每次事故法律费用赔偿限额10万元；免赔额0。</w:t>
            </w:r>
          </w:p>
          <w:p w14:paraId="2FB14A06">
            <w:pPr>
              <w:widowControl/>
              <w:spacing w:line="36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校方无责任保险(校园意外险)：意外身故及伤残赔限额偿15万元；未参加社会基本医疗保险、公费医疗的被保险人，医疗保险金给付的免赔额为100元，给付比例为80％；参加社会基本医疗保险、公费医疗的被保险人，医疗保险金给付的免赔额为0元，给付比例为90％。赔限额偿2万元。 </w:t>
            </w:r>
          </w:p>
        </w:tc>
      </w:tr>
      <w:tr w14:paraId="2FF6651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42" w:type="dxa"/>
            <w:vMerge w:val="continue"/>
            <w:tcBorders>
              <w:left w:val="single" w:color="auto" w:sz="6" w:space="0"/>
              <w:right w:val="single" w:color="auto" w:sz="4" w:space="0"/>
            </w:tcBorders>
            <w:vAlign w:val="center"/>
          </w:tcPr>
          <w:p w14:paraId="7F2A8EEF">
            <w:pPr>
              <w:widowControl/>
              <w:jc w:val="center"/>
              <w:rPr>
                <w:rFonts w:ascii="Arial" w:hAnsi="Arial" w:eastAsia="宋体" w:cs="Arial"/>
                <w:kern w:val="0"/>
                <w:sz w:val="24"/>
                <w:szCs w:val="24"/>
              </w:rPr>
            </w:pPr>
          </w:p>
        </w:tc>
        <w:tc>
          <w:tcPr>
            <w:tcW w:w="2106" w:type="dxa"/>
            <w:tcBorders>
              <w:top w:val="single" w:color="auto" w:sz="4" w:space="0"/>
              <w:left w:val="single" w:color="auto" w:sz="4" w:space="0"/>
              <w:right w:val="single" w:color="auto" w:sz="4" w:space="0"/>
            </w:tcBorders>
            <w:vAlign w:val="center"/>
          </w:tcPr>
          <w:p w14:paraId="78905C42">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（大写金额）</w:t>
            </w:r>
          </w:p>
        </w:tc>
        <w:tc>
          <w:tcPr>
            <w:tcW w:w="1354" w:type="dxa"/>
            <w:vMerge w:val="continue"/>
            <w:tcBorders>
              <w:left w:val="single" w:color="auto" w:sz="4" w:space="0"/>
              <w:right w:val="single" w:color="auto" w:sz="4" w:space="0"/>
            </w:tcBorders>
            <w:vAlign w:val="center"/>
          </w:tcPr>
          <w:p w14:paraId="3A3F73A9">
            <w:pPr>
              <w:widowControl/>
              <w:jc w:val="center"/>
              <w:rPr>
                <w:rFonts w:ascii="仿宋" w:hAnsi="仿宋" w:eastAsia="仿宋" w:cs="Arial"/>
                <w:kern w:val="0"/>
                <w:sz w:val="24"/>
                <w:szCs w:val="24"/>
              </w:rPr>
            </w:pPr>
          </w:p>
        </w:tc>
        <w:tc>
          <w:tcPr>
            <w:tcW w:w="1477" w:type="dxa"/>
            <w:vMerge w:val="continue"/>
            <w:tcBorders>
              <w:left w:val="single" w:color="auto" w:sz="4" w:space="0"/>
              <w:right w:val="single" w:color="auto" w:sz="4" w:space="0"/>
            </w:tcBorders>
            <w:vAlign w:val="center"/>
          </w:tcPr>
          <w:p w14:paraId="73704119">
            <w:pPr>
              <w:widowControl/>
              <w:jc w:val="center"/>
              <w:rPr>
                <w:rFonts w:ascii="Arial" w:hAnsi="Arial" w:eastAsia="宋体" w:cs="Arial"/>
                <w:kern w:val="0"/>
                <w:sz w:val="24"/>
                <w:szCs w:val="24"/>
              </w:rPr>
            </w:pPr>
          </w:p>
        </w:tc>
        <w:tc>
          <w:tcPr>
            <w:tcW w:w="1226" w:type="dxa"/>
            <w:vMerge w:val="continue"/>
            <w:tcBorders>
              <w:left w:val="single" w:color="auto" w:sz="4" w:space="0"/>
              <w:right w:val="single" w:color="auto" w:sz="4" w:space="0"/>
            </w:tcBorders>
            <w:vAlign w:val="center"/>
          </w:tcPr>
          <w:p w14:paraId="1565A8FF">
            <w:pPr>
              <w:widowControl/>
              <w:jc w:val="center"/>
              <w:rPr>
                <w:rFonts w:ascii="仿宋" w:hAnsi="仿宋" w:eastAsia="仿宋" w:cs="Arial"/>
                <w:kern w:val="0"/>
                <w:sz w:val="24"/>
                <w:szCs w:val="24"/>
              </w:rPr>
            </w:pPr>
          </w:p>
        </w:tc>
        <w:tc>
          <w:tcPr>
            <w:tcW w:w="6465"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684C8B01">
            <w:pPr>
              <w:widowControl/>
              <w:jc w:val="center"/>
              <w:rPr>
                <w:rFonts w:ascii="仿宋" w:hAnsi="仿宋" w:eastAsia="仿宋" w:cs="Arial"/>
                <w:kern w:val="0"/>
                <w:sz w:val="24"/>
                <w:szCs w:val="24"/>
              </w:rPr>
            </w:pPr>
          </w:p>
        </w:tc>
      </w:tr>
    </w:tbl>
    <w:p w14:paraId="08AE8E6B">
      <w:pPr>
        <w:widowControl/>
        <w:ind w:right="150" w:rightChars="50" w:firstLine="298" w:firstLineChars="142"/>
        <w:jc w:val="left"/>
        <w:rPr>
          <w:rFonts w:asciiTheme="minorEastAsia" w:hAnsiTheme="minorEastAsia" w:eastAsiaTheme="minorEastAsia"/>
          <w:sz w:val="21"/>
          <w:szCs w:val="21"/>
        </w:rPr>
      </w:pPr>
      <w:r>
        <w:rPr>
          <w:rFonts w:asciiTheme="minorEastAsia" w:hAnsiTheme="minorEastAsia" w:eastAsiaTheme="minorEastAsia"/>
          <w:sz w:val="21"/>
          <w:szCs w:val="21"/>
        </w:rPr>
        <w:t>注：1.以上项目报价均包括本项目采购需求和投入使用的所有费用，包括但不限于材料、制作</w:t>
      </w:r>
      <w:r>
        <w:rPr>
          <w:rFonts w:hint="eastAsia" w:asciiTheme="minorEastAsia" w:hAnsiTheme="minorEastAsia" w:eastAsiaTheme="minorEastAsia"/>
          <w:sz w:val="21"/>
          <w:szCs w:val="21"/>
        </w:rPr>
        <w:t>、</w:t>
      </w:r>
      <w:r>
        <w:rPr>
          <w:rFonts w:asciiTheme="minorEastAsia" w:hAnsiTheme="minorEastAsia" w:eastAsiaTheme="minorEastAsia"/>
          <w:sz w:val="21"/>
          <w:szCs w:val="21"/>
        </w:rPr>
        <w:t>税款等费用。2.投标人不得对报价表的格式和内容进行修改，填表字迹清晰。</w:t>
      </w:r>
    </w:p>
    <w:p w14:paraId="218417D2">
      <w:pPr>
        <w:widowControl/>
        <w:ind w:right="150" w:rightChars="50"/>
        <w:jc w:val="left"/>
        <w:rPr>
          <w:rFonts w:asciiTheme="minorEastAsia" w:hAnsiTheme="minorEastAsia" w:eastAsiaTheme="minorEastAsia"/>
          <w:sz w:val="21"/>
          <w:szCs w:val="21"/>
        </w:rPr>
      </w:pPr>
    </w:p>
    <w:sectPr>
      <w:pgSz w:w="16838" w:h="11906" w:orient="landscape"/>
      <w:pgMar w:top="1077" w:right="1077" w:bottom="1264"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D3C53"/>
    <w:multiLevelType w:val="singleLevel"/>
    <w:tmpl w:val="FF9D3C53"/>
    <w:lvl w:ilvl="0" w:tentative="0">
      <w:start w:val="2"/>
      <w:numFmt w:val="chineseCounting"/>
      <w:suff w:val="nothing"/>
      <w:lvlText w:val="（%1）"/>
      <w:lvlJc w:val="left"/>
      <w:rPr>
        <w:rFonts w:hint="eastAsia"/>
      </w:rPr>
    </w:lvl>
  </w:abstractNum>
  <w:abstractNum w:abstractNumId="1">
    <w:nsid w:val="43B4CE02"/>
    <w:multiLevelType w:val="singleLevel"/>
    <w:tmpl w:val="43B4CE02"/>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0"/>
  <w:drawingGridVerticalSpacing w:val="20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561"/>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67BF9"/>
    <w:rsid w:val="002808D2"/>
    <w:rsid w:val="00293695"/>
    <w:rsid w:val="002A316C"/>
    <w:rsid w:val="002C048F"/>
    <w:rsid w:val="002C328E"/>
    <w:rsid w:val="002D71B0"/>
    <w:rsid w:val="002F2585"/>
    <w:rsid w:val="002F40F9"/>
    <w:rsid w:val="003230E6"/>
    <w:rsid w:val="00324D75"/>
    <w:rsid w:val="00325F80"/>
    <w:rsid w:val="00332EAA"/>
    <w:rsid w:val="00337CEF"/>
    <w:rsid w:val="00342FB6"/>
    <w:rsid w:val="00374EB0"/>
    <w:rsid w:val="0039476B"/>
    <w:rsid w:val="003C6FA4"/>
    <w:rsid w:val="003D0E85"/>
    <w:rsid w:val="003F371D"/>
    <w:rsid w:val="003F5E38"/>
    <w:rsid w:val="004028EA"/>
    <w:rsid w:val="004072EB"/>
    <w:rsid w:val="00414888"/>
    <w:rsid w:val="00415910"/>
    <w:rsid w:val="00416FB1"/>
    <w:rsid w:val="00420B4D"/>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01889"/>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A6598"/>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96C2B"/>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D4F24"/>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2867E41"/>
    <w:rsid w:val="081B1808"/>
    <w:rsid w:val="088414CD"/>
    <w:rsid w:val="0B8415DD"/>
    <w:rsid w:val="0C874EE1"/>
    <w:rsid w:val="10EC2549"/>
    <w:rsid w:val="11052878"/>
    <w:rsid w:val="12B67B29"/>
    <w:rsid w:val="18C95A36"/>
    <w:rsid w:val="18CC3E7C"/>
    <w:rsid w:val="1AB80F1B"/>
    <w:rsid w:val="1B2B13B7"/>
    <w:rsid w:val="1CC950A2"/>
    <w:rsid w:val="1D6909DD"/>
    <w:rsid w:val="22E569AE"/>
    <w:rsid w:val="23333275"/>
    <w:rsid w:val="2575747F"/>
    <w:rsid w:val="28C15E74"/>
    <w:rsid w:val="28C67AC6"/>
    <w:rsid w:val="291853E7"/>
    <w:rsid w:val="293B2BCF"/>
    <w:rsid w:val="2956604A"/>
    <w:rsid w:val="2BD276B6"/>
    <w:rsid w:val="2F37233F"/>
    <w:rsid w:val="2FF53496"/>
    <w:rsid w:val="311D4964"/>
    <w:rsid w:val="3207249C"/>
    <w:rsid w:val="35327394"/>
    <w:rsid w:val="36A023E8"/>
    <w:rsid w:val="3E2A7B5D"/>
    <w:rsid w:val="3E4E1BA8"/>
    <w:rsid w:val="42072045"/>
    <w:rsid w:val="4575196F"/>
    <w:rsid w:val="4A111695"/>
    <w:rsid w:val="4D0B0C3B"/>
    <w:rsid w:val="4DDF2BE8"/>
    <w:rsid w:val="4F247D92"/>
    <w:rsid w:val="4F26037B"/>
    <w:rsid w:val="4FCE7CFE"/>
    <w:rsid w:val="512F3E38"/>
    <w:rsid w:val="59D93E6F"/>
    <w:rsid w:val="5B9E53C8"/>
    <w:rsid w:val="5C0351D3"/>
    <w:rsid w:val="5CB00E4E"/>
    <w:rsid w:val="63C1666A"/>
    <w:rsid w:val="662D5327"/>
    <w:rsid w:val="67BD092C"/>
    <w:rsid w:val="68662D72"/>
    <w:rsid w:val="6A386990"/>
    <w:rsid w:val="6B9320D0"/>
    <w:rsid w:val="6C3D59F3"/>
    <w:rsid w:val="6D4E4D3A"/>
    <w:rsid w:val="74F34F4E"/>
    <w:rsid w:val="757B3322"/>
    <w:rsid w:val="772269FE"/>
    <w:rsid w:val="78BD4103"/>
    <w:rsid w:val="799C2A97"/>
    <w:rsid w:val="7B452B92"/>
    <w:rsid w:val="7D1F3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1"/>
    <w:semiHidden/>
    <w:unhideWhenUsed/>
    <w:qFormat/>
    <w:uiPriority w:val="99"/>
    <w:pPr>
      <w:jc w:val="left"/>
    </w:pPr>
  </w:style>
  <w:style w:type="paragraph" w:styleId="4">
    <w:name w:val="Body Text"/>
    <w:basedOn w:val="1"/>
    <w:link w:val="35"/>
    <w:semiHidden/>
    <w:unhideWhenUsed/>
    <w:qFormat/>
    <w:uiPriority w:val="99"/>
    <w:pPr>
      <w:spacing w:after="120"/>
    </w:pPr>
  </w:style>
  <w:style w:type="paragraph" w:styleId="5">
    <w:name w:val="Body Text Indent"/>
    <w:basedOn w:val="1"/>
    <w:link w:val="33"/>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20"/>
    <w:qFormat/>
    <w:uiPriority w:val="0"/>
    <w:rPr>
      <w:rFonts w:ascii="宋体" w:hAnsi="Courier New" w:eastAsia="宋体" w:cstheme="minorBidi"/>
      <w:sz w:val="21"/>
      <w:szCs w:val="22"/>
    </w:rPr>
  </w:style>
  <w:style w:type="paragraph" w:styleId="8">
    <w:name w:val="Balloon Text"/>
    <w:basedOn w:val="1"/>
    <w:link w:val="31"/>
    <w:semiHidden/>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9"/>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2"/>
    <w:semiHidden/>
    <w:unhideWhenUsed/>
    <w:qFormat/>
    <w:uiPriority w:val="99"/>
    <w:rPr>
      <w:b/>
      <w:bCs/>
    </w:rPr>
  </w:style>
  <w:style w:type="paragraph" w:styleId="14">
    <w:name w:val="Body Text First Indent 2"/>
    <w:basedOn w:val="5"/>
    <w:link w:val="34"/>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character" w:customStyle="1" w:styleId="20">
    <w:name w:val="纯文本 Char"/>
    <w:link w:val="7"/>
    <w:qFormat/>
    <w:uiPriority w:val="0"/>
    <w:rPr>
      <w:rFonts w:ascii="宋体" w:hAnsi="Courier New" w:eastAsia="宋体"/>
    </w:rPr>
  </w:style>
  <w:style w:type="paragraph" w:customStyle="1" w:styleId="21">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2">
    <w:name w:val="纯文本 Char1"/>
    <w:basedOn w:val="17"/>
    <w:qFormat/>
    <w:uiPriority w:val="0"/>
    <w:rPr>
      <w:rFonts w:ascii="宋体" w:hAnsi="Courier New" w:eastAsia="宋体" w:cs="Courier New"/>
      <w:szCs w:val="21"/>
    </w:rPr>
  </w:style>
  <w:style w:type="character" w:customStyle="1" w:styleId="23">
    <w:name w:val="页眉 Char"/>
    <w:basedOn w:val="17"/>
    <w:link w:val="10"/>
    <w:qFormat/>
    <w:uiPriority w:val="99"/>
    <w:rPr>
      <w:rFonts w:ascii="Times New Roman" w:hAnsi="Times New Roman" w:eastAsia="仿宋_GB2312" w:cs="Times New Roman"/>
      <w:sz w:val="18"/>
      <w:szCs w:val="18"/>
    </w:rPr>
  </w:style>
  <w:style w:type="character" w:customStyle="1" w:styleId="24">
    <w:name w:val="页脚 Char"/>
    <w:basedOn w:val="17"/>
    <w:link w:val="9"/>
    <w:qFormat/>
    <w:uiPriority w:val="0"/>
    <w:rPr>
      <w:rFonts w:ascii="Times New Roman" w:hAnsi="Times New Roman" w:eastAsia="仿宋_GB2312" w:cs="Times New Roman"/>
      <w:sz w:val="18"/>
      <w:szCs w:val="18"/>
    </w:rPr>
  </w:style>
  <w:style w:type="paragraph" w:styleId="25">
    <w:name w:val="List Paragraph"/>
    <w:basedOn w:val="1"/>
    <w:link w:val="26"/>
    <w:unhideWhenUsed/>
    <w:qFormat/>
    <w:uiPriority w:val="34"/>
    <w:pPr>
      <w:ind w:firstLine="420" w:firstLineChars="200"/>
    </w:pPr>
    <w:rPr>
      <w:rFonts w:ascii="Calibri" w:hAnsi="Calibri" w:eastAsia="宋体"/>
      <w:sz w:val="21"/>
      <w:szCs w:val="22"/>
    </w:rPr>
  </w:style>
  <w:style w:type="character" w:customStyle="1" w:styleId="26">
    <w:name w:val="列出段落 Char"/>
    <w:link w:val="25"/>
    <w:qFormat/>
    <w:uiPriority w:val="34"/>
    <w:rPr>
      <w:rFonts w:ascii="Calibri" w:hAnsi="Calibri" w:eastAsia="宋体" w:cs="Times New Roman"/>
    </w:rPr>
  </w:style>
  <w:style w:type="paragraph" w:customStyle="1" w:styleId="27">
    <w:name w:val="样式 标题 3H3l3CT标题222Bold Headbhlevel_3PIM 3Level 3 Heads..."/>
    <w:basedOn w:val="2"/>
    <w:link w:val="28"/>
    <w:qFormat/>
    <w:uiPriority w:val="0"/>
    <w:pPr>
      <w:jc w:val="left"/>
    </w:pPr>
    <w:rPr>
      <w:rFonts w:ascii="宋体" w:hAnsi="宋体" w:eastAsia="黑体"/>
      <w:color w:val="000000"/>
      <w:sz w:val="24"/>
    </w:rPr>
  </w:style>
  <w:style w:type="character" w:customStyle="1" w:styleId="28">
    <w:name w:val="样式 标题 3H3l3CT标题222Bold Headbhlevel_3PIM 3Level 3 Heads... Char"/>
    <w:link w:val="27"/>
    <w:qFormat/>
    <w:uiPriority w:val="0"/>
    <w:rPr>
      <w:rFonts w:ascii="宋体" w:hAnsi="宋体" w:eastAsia="黑体" w:cs="Times New Roman"/>
      <w:b/>
      <w:bCs/>
      <w:color w:val="000000"/>
      <w:sz w:val="24"/>
      <w:szCs w:val="32"/>
    </w:rPr>
  </w:style>
  <w:style w:type="character" w:customStyle="1" w:styleId="29">
    <w:name w:val="标题 Char"/>
    <w:basedOn w:val="17"/>
    <w:link w:val="12"/>
    <w:qFormat/>
    <w:uiPriority w:val="0"/>
    <w:rPr>
      <w:rFonts w:ascii="Cambria" w:hAnsi="Cambria" w:eastAsia="宋体" w:cs="Times New Roman"/>
      <w:b/>
      <w:bCs/>
      <w:sz w:val="32"/>
      <w:szCs w:val="32"/>
    </w:rPr>
  </w:style>
  <w:style w:type="character" w:customStyle="1" w:styleId="30">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1">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4">
    <w:name w:val="正文首行缩进 2 Char"/>
    <w:basedOn w:val="33"/>
    <w:link w:val="14"/>
    <w:qFormat/>
    <w:uiPriority w:val="0"/>
    <w:rPr>
      <w:rFonts w:ascii="仿宋_GB2312" w:hAnsi="Times New Roman" w:eastAsia="仿宋_GB2312" w:cs="Times New Roman"/>
      <w:kern w:val="0"/>
      <w:sz w:val="28"/>
      <w:szCs w:val="20"/>
    </w:rPr>
  </w:style>
  <w:style w:type="character" w:customStyle="1" w:styleId="35">
    <w:name w:val="正文文本 Char"/>
    <w:basedOn w:val="17"/>
    <w:link w:val="4"/>
    <w:semiHidden/>
    <w:qFormat/>
    <w:uiPriority w:val="99"/>
    <w:rPr>
      <w:rFonts w:ascii="Times New Roman" w:hAnsi="Times New Roman" w:eastAsia="仿宋_GB2312" w:cs="Times New Roman"/>
      <w:sz w:val="30"/>
      <w:szCs w:val="20"/>
    </w:r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51"/>
    <w:basedOn w:val="17"/>
    <w:qFormat/>
    <w:uiPriority w:val="0"/>
    <w:rPr>
      <w:rFonts w:hint="eastAsia" w:ascii="宋体" w:hAnsi="宋体" w:eastAsia="宋体" w:cs="宋体"/>
      <w:b/>
      <w:bCs/>
      <w:color w:val="FF0000"/>
      <w:sz w:val="36"/>
      <w:szCs w:val="36"/>
      <w:u w:val="single"/>
    </w:rPr>
  </w:style>
  <w:style w:type="character" w:customStyle="1" w:styleId="38">
    <w:name w:val="font21"/>
    <w:basedOn w:val="17"/>
    <w:qFormat/>
    <w:uiPriority w:val="0"/>
    <w:rPr>
      <w:rFonts w:hint="eastAsia" w:ascii="宋体" w:hAnsi="宋体" w:eastAsia="宋体" w:cs="宋体"/>
      <w:b/>
      <w:bCs/>
      <w:color w:val="000000"/>
      <w:sz w:val="36"/>
      <w:szCs w:val="36"/>
      <w:u w:val="none"/>
    </w:rPr>
  </w:style>
  <w:style w:type="character" w:customStyle="1" w:styleId="39">
    <w:name w:val="font61"/>
    <w:basedOn w:val="17"/>
    <w:qFormat/>
    <w:uiPriority w:val="0"/>
    <w:rPr>
      <w:rFonts w:hint="eastAsia" w:ascii="宋体" w:hAnsi="宋体" w:eastAsia="宋体" w:cs="宋体"/>
      <w:b/>
      <w:bCs/>
      <w:color w:val="FF0000"/>
      <w:sz w:val="36"/>
      <w:szCs w:val="36"/>
      <w:u w:val="none"/>
    </w:rPr>
  </w:style>
  <w:style w:type="character" w:customStyle="1" w:styleId="40">
    <w:name w:val="font01"/>
    <w:basedOn w:val="17"/>
    <w:qFormat/>
    <w:uiPriority w:val="0"/>
    <w:rPr>
      <w:rFonts w:hint="eastAsia" w:ascii="宋体" w:hAnsi="宋体" w:eastAsia="宋体" w:cs="宋体"/>
      <w:color w:val="000000"/>
      <w:sz w:val="24"/>
      <w:szCs w:val="24"/>
      <w:u w:val="none"/>
    </w:rPr>
  </w:style>
  <w:style w:type="character" w:customStyle="1" w:styleId="41">
    <w:name w:val="批注文字 Char"/>
    <w:basedOn w:val="17"/>
    <w:link w:val="3"/>
    <w:semiHidden/>
    <w:qFormat/>
    <w:uiPriority w:val="99"/>
    <w:rPr>
      <w:rFonts w:eastAsia="仿宋_GB2312"/>
      <w:kern w:val="2"/>
      <w:sz w:val="30"/>
    </w:rPr>
  </w:style>
  <w:style w:type="character" w:customStyle="1" w:styleId="42">
    <w:name w:val="批注主题 Char"/>
    <w:basedOn w:val="41"/>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4410</Words>
  <Characters>4652</Characters>
  <Lines>35</Lines>
  <Paragraphs>9</Paragraphs>
  <TotalTime>4</TotalTime>
  <ScaleCrop>false</ScaleCrop>
  <LinksUpToDate>false</LinksUpToDate>
  <CharactersWithSpaces>4702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2025-07-10T03:44:00Z</dcterms:created>
  <dc:creator>admin</dc:creator>
  <cp:lastModifiedBy>朱</cp:lastModifiedBy>
  <cp:lastPrinted>2021-05-16T08:35:00Z</cp:lastPrinted>
  <dcterms:modified xsi:type="dcterms:W3CDTF">2026-06-11T08:09:24Z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0202D6B41D654040A19329B808377ED1_12</vt:lpwstr>
  </property>
  <property fmtid="{D5CDD505-2E9C-101B-9397-08002B2CF9AE}" pid="4" name="KSOTemplateDocerSaveRecord">
    <vt:lpwstr>eyJoZGlkIjoiNjNmZWU4NDg2ODZlNDQzODA2NDMyZDg1YTU1MDJlNjMiLCJ1c2VySWQiOiIzNjQ2ODU4NzgifQ==</vt:lpwstr>
  </property>
</Properties>
</file>