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73511">
      <w:pPr>
        <w:widowControl/>
        <w:spacing w:line="600" w:lineRule="exact"/>
        <w:jc w:val="center"/>
        <w:rPr>
          <w:rFonts w:hint="eastAsia" w:cs="Helvetica" w:asciiTheme="minorEastAsia" w:hAnsiTheme="minorEastAsia" w:eastAsiaTheme="minorEastAsia"/>
          <w:b/>
          <w:color w:val="auto"/>
          <w:kern w:val="0"/>
          <w:sz w:val="36"/>
          <w:szCs w:val="36"/>
        </w:rPr>
      </w:pPr>
      <w:bookmarkStart w:id="0" w:name="_Toc12355_WPSOffice_Level1"/>
      <w:r>
        <w:rPr>
          <w:rFonts w:hint="eastAsia" w:cs="Helvetica" w:asciiTheme="minorEastAsia" w:hAnsiTheme="minorEastAsia" w:eastAsiaTheme="minorEastAsia"/>
          <w:b/>
          <w:color w:val="auto"/>
          <w:kern w:val="0"/>
          <w:sz w:val="36"/>
          <w:szCs w:val="36"/>
        </w:rPr>
        <w:t>江门市技师学院潮</w:t>
      </w:r>
      <w:r>
        <w:rPr>
          <w:rFonts w:hint="eastAsia" w:cs="Helvetica" w:asciiTheme="minorEastAsia" w:hAnsiTheme="minorEastAsia" w:eastAsiaTheme="minorEastAsia"/>
          <w:b/>
          <w:color w:val="auto"/>
          <w:kern w:val="0"/>
          <w:sz w:val="36"/>
          <w:szCs w:val="36"/>
          <w:lang w:val="en-US" w:eastAsia="zh-CN"/>
        </w:rPr>
        <w:t>连</w:t>
      </w:r>
      <w:r>
        <w:rPr>
          <w:rFonts w:hint="eastAsia" w:cs="Helvetica" w:asciiTheme="minorEastAsia" w:hAnsiTheme="minorEastAsia" w:eastAsiaTheme="minorEastAsia"/>
          <w:b/>
          <w:color w:val="auto"/>
          <w:kern w:val="0"/>
          <w:sz w:val="36"/>
          <w:szCs w:val="36"/>
        </w:rPr>
        <w:t>校区教学楼语音广播系统</w:t>
      </w:r>
    </w:p>
    <w:p w14:paraId="46B44A38">
      <w:pPr>
        <w:widowControl/>
        <w:spacing w:line="600" w:lineRule="exact"/>
        <w:jc w:val="center"/>
        <w:rPr>
          <w:rFonts w:cs="Helvetica" w:asciiTheme="minorEastAsia" w:hAnsiTheme="minorEastAsia" w:eastAsiaTheme="minorEastAsia"/>
          <w:b/>
          <w:color w:val="auto"/>
          <w:kern w:val="0"/>
          <w:sz w:val="36"/>
          <w:szCs w:val="36"/>
          <w:u w:val="single"/>
        </w:rPr>
      </w:pPr>
      <w:r>
        <w:rPr>
          <w:rFonts w:hint="eastAsia" w:cs="Helvetica" w:asciiTheme="minorEastAsia" w:hAnsiTheme="minorEastAsia" w:eastAsiaTheme="minorEastAsia"/>
          <w:b/>
          <w:color w:val="auto"/>
          <w:kern w:val="0"/>
          <w:sz w:val="36"/>
          <w:szCs w:val="36"/>
        </w:rPr>
        <w:t>项目需求书</w:t>
      </w:r>
    </w:p>
    <w:p w14:paraId="2F9C04C2">
      <w:pPr>
        <w:widowControl/>
        <w:spacing w:line="600" w:lineRule="exact"/>
        <w:jc w:val="center"/>
        <w:rPr>
          <w:rFonts w:cs="宋体" w:asciiTheme="minorEastAsia" w:hAnsiTheme="minorEastAsia" w:eastAsiaTheme="minorEastAsia"/>
          <w:b/>
          <w:bCs/>
          <w:color w:val="auto"/>
          <w:kern w:val="0"/>
          <w:szCs w:val="30"/>
        </w:rPr>
      </w:pPr>
    </w:p>
    <w:p w14:paraId="2CC0D9CB">
      <w:pPr>
        <w:widowControl/>
        <w:spacing w:line="600" w:lineRule="exact"/>
        <w:jc w:val="center"/>
        <w:rPr>
          <w:rFonts w:cs="宋体" w:asciiTheme="minorEastAsia" w:hAnsiTheme="minorEastAsia" w:eastAsiaTheme="minorEastAsia"/>
          <w:b/>
          <w:bCs/>
          <w:color w:val="auto"/>
          <w:kern w:val="0"/>
          <w:szCs w:val="30"/>
        </w:rPr>
      </w:pPr>
      <w:r>
        <w:rPr>
          <w:rFonts w:hint="eastAsia" w:cs="宋体" w:asciiTheme="minorEastAsia" w:hAnsiTheme="minorEastAsia" w:eastAsiaTheme="minorEastAsia"/>
          <w:b/>
          <w:bCs/>
          <w:color w:val="auto"/>
          <w:kern w:val="0"/>
          <w:szCs w:val="30"/>
        </w:rPr>
        <w:t>第一章 用户需求书</w:t>
      </w:r>
      <w:bookmarkEnd w:id="0"/>
    </w:p>
    <w:p w14:paraId="1939695F">
      <w:pPr>
        <w:widowControl/>
        <w:spacing w:line="360" w:lineRule="auto"/>
        <w:ind w:firstLine="560" w:firstLineChars="200"/>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一、项目基本情况</w:t>
      </w:r>
    </w:p>
    <w:tbl>
      <w:tblPr>
        <w:tblStyle w:val="1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94"/>
        <w:gridCol w:w="2212"/>
        <w:gridCol w:w="2194"/>
        <w:gridCol w:w="2376"/>
      </w:tblGrid>
      <w:tr w14:paraId="32656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82" w:type="dxa"/>
            <w:vAlign w:val="center"/>
          </w:tcPr>
          <w:p w14:paraId="2E8CC63D">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项目名称</w:t>
            </w:r>
          </w:p>
        </w:tc>
        <w:tc>
          <w:tcPr>
            <w:tcW w:w="2282" w:type="dxa"/>
            <w:vAlign w:val="center"/>
          </w:tcPr>
          <w:p w14:paraId="6F10F2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江门市技师学院潮</w:t>
            </w:r>
            <w:r>
              <w:rPr>
                <w:rFonts w:hint="eastAsia" w:cs="宋体" w:asciiTheme="minorEastAsia" w:hAnsiTheme="minorEastAsia" w:eastAsiaTheme="minorEastAsia"/>
                <w:bCs/>
                <w:color w:val="auto"/>
                <w:kern w:val="0"/>
                <w:sz w:val="24"/>
                <w:szCs w:val="24"/>
                <w:lang w:val="en-US" w:eastAsia="zh-CN"/>
              </w:rPr>
              <w:t>连</w:t>
            </w:r>
            <w:r>
              <w:rPr>
                <w:rFonts w:hint="eastAsia" w:cs="宋体" w:asciiTheme="minorEastAsia" w:hAnsiTheme="minorEastAsia" w:eastAsiaTheme="minorEastAsia"/>
                <w:bCs/>
                <w:color w:val="auto"/>
                <w:kern w:val="0"/>
                <w:sz w:val="24"/>
                <w:szCs w:val="24"/>
              </w:rPr>
              <w:t>校区教学楼语音广播系统</w:t>
            </w:r>
          </w:p>
          <w:p w14:paraId="753B5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项目需求书</w:t>
            </w:r>
          </w:p>
        </w:tc>
        <w:tc>
          <w:tcPr>
            <w:tcW w:w="2282" w:type="dxa"/>
            <w:vAlign w:val="center"/>
          </w:tcPr>
          <w:p w14:paraId="3383A09D">
            <w:pPr>
              <w:spacing w:line="360" w:lineRule="auto"/>
              <w:jc w:val="center"/>
              <w:rPr>
                <w:rFonts w:cs="宋体" w:asciiTheme="minorEastAsia" w:hAnsiTheme="minorEastAsia" w:eastAsiaTheme="minorEastAsia"/>
                <w:bCs/>
                <w:color w:val="auto"/>
                <w:kern w:val="0"/>
                <w:sz w:val="24"/>
                <w:szCs w:val="24"/>
              </w:rPr>
            </w:pPr>
            <w:r>
              <w:rPr>
                <w:rFonts w:hint="eastAsia" w:ascii="宋体" w:hAnsi="宋体" w:eastAsia="宋体" w:cs="宋体"/>
                <w:color w:val="auto"/>
                <w:sz w:val="24"/>
                <w:szCs w:val="24"/>
              </w:rPr>
              <w:t>项目编号</w:t>
            </w:r>
          </w:p>
        </w:tc>
        <w:tc>
          <w:tcPr>
            <w:tcW w:w="1896" w:type="dxa"/>
            <w:vAlign w:val="center"/>
          </w:tcPr>
          <w:p w14:paraId="0EB1DF89">
            <w:pPr>
              <w:spacing w:line="360" w:lineRule="auto"/>
              <w:jc w:val="center"/>
              <w:rPr>
                <w:rFonts w:hint="default"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lang w:val="en-US" w:eastAsia="zh-CN"/>
              </w:rPr>
              <w:t>xxjsx-cgzx-2026-03</w:t>
            </w:r>
          </w:p>
        </w:tc>
      </w:tr>
      <w:tr w14:paraId="434BA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82" w:type="dxa"/>
            <w:vAlign w:val="center"/>
          </w:tcPr>
          <w:p w14:paraId="5D0B4E68">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采购预算/最高限价</w:t>
            </w:r>
          </w:p>
        </w:tc>
        <w:tc>
          <w:tcPr>
            <w:tcW w:w="2282" w:type="dxa"/>
            <w:vAlign w:val="center"/>
          </w:tcPr>
          <w:p w14:paraId="47194670">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lang w:val="en-US" w:eastAsia="zh-CN"/>
              </w:rPr>
              <w:t>41000</w:t>
            </w:r>
            <w:r>
              <w:rPr>
                <w:rFonts w:hint="eastAsia" w:cs="宋体" w:asciiTheme="minorEastAsia" w:hAnsiTheme="minorEastAsia" w:eastAsiaTheme="minorEastAsia"/>
                <w:bCs/>
                <w:color w:val="auto"/>
                <w:kern w:val="0"/>
                <w:sz w:val="24"/>
                <w:szCs w:val="24"/>
              </w:rPr>
              <w:t>元</w:t>
            </w:r>
          </w:p>
        </w:tc>
        <w:tc>
          <w:tcPr>
            <w:tcW w:w="2282" w:type="dxa"/>
            <w:vAlign w:val="center"/>
          </w:tcPr>
          <w:p w14:paraId="50F7C940">
            <w:pPr>
              <w:spacing w:line="360" w:lineRule="auto"/>
              <w:jc w:val="center"/>
              <w:rPr>
                <w:rFonts w:cs="宋体" w:asciiTheme="minorEastAsia" w:hAnsiTheme="minorEastAsia" w:eastAsiaTheme="minorEastAsia"/>
                <w:bCs/>
                <w:color w:val="auto"/>
                <w:kern w:val="0"/>
                <w:sz w:val="24"/>
                <w:szCs w:val="24"/>
              </w:rPr>
            </w:pPr>
            <w:r>
              <w:rPr>
                <w:rFonts w:hint="eastAsia" w:ascii="宋体" w:hAnsi="宋体" w:eastAsia="宋体" w:cs="宋体"/>
                <w:color w:val="auto"/>
                <w:sz w:val="24"/>
              </w:rPr>
              <w:t>履行期限</w:t>
            </w:r>
          </w:p>
        </w:tc>
        <w:tc>
          <w:tcPr>
            <w:tcW w:w="1896" w:type="dxa"/>
            <w:vAlign w:val="center"/>
          </w:tcPr>
          <w:p w14:paraId="5E9EFF79">
            <w:pPr>
              <w:spacing w:line="240" w:lineRule="auto"/>
              <w:jc w:val="center"/>
              <w:rPr>
                <w:rFonts w:hint="default"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lang w:val="en-US" w:eastAsia="zh-CN"/>
              </w:rPr>
              <w:t>合同签定后7个工作日内完成</w:t>
            </w:r>
          </w:p>
        </w:tc>
      </w:tr>
      <w:tr w14:paraId="36DA8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82" w:type="dxa"/>
            <w:vAlign w:val="center"/>
          </w:tcPr>
          <w:p w14:paraId="56BBC1B8">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评标办法</w:t>
            </w:r>
          </w:p>
        </w:tc>
        <w:tc>
          <w:tcPr>
            <w:tcW w:w="2282" w:type="dxa"/>
            <w:vAlign w:val="center"/>
          </w:tcPr>
          <w:p w14:paraId="4EC765CB">
            <w:pPr>
              <w:spacing w:line="360" w:lineRule="auto"/>
              <w:jc w:val="center"/>
              <w:rPr>
                <w:rFonts w:cs="宋体" w:asciiTheme="minorEastAsia" w:hAnsiTheme="minorEastAsia" w:eastAsiaTheme="minorEastAsia"/>
                <w:bCs/>
                <w:color w:val="auto"/>
                <w:kern w:val="0"/>
                <w:sz w:val="24"/>
                <w:szCs w:val="24"/>
              </w:rPr>
            </w:pPr>
            <w:r>
              <w:rPr>
                <w:rFonts w:hint="eastAsia" w:asciiTheme="minorEastAsia" w:hAnsiTheme="minorEastAsia" w:eastAsiaTheme="minorEastAsia"/>
                <w:color w:val="auto"/>
                <w:kern w:val="28"/>
                <w:sz w:val="24"/>
                <w:szCs w:val="24"/>
              </w:rPr>
              <w:t>综合评分法</w:t>
            </w:r>
          </w:p>
        </w:tc>
        <w:tc>
          <w:tcPr>
            <w:tcW w:w="2282" w:type="dxa"/>
            <w:vAlign w:val="center"/>
          </w:tcPr>
          <w:p w14:paraId="48FEEF8D">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现场踏勘</w:t>
            </w:r>
          </w:p>
        </w:tc>
        <w:tc>
          <w:tcPr>
            <w:tcW w:w="1896" w:type="dxa"/>
            <w:vAlign w:val="center"/>
          </w:tcPr>
          <w:p w14:paraId="594F7818">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是</w:t>
            </w:r>
          </w:p>
        </w:tc>
      </w:tr>
      <w:tr w14:paraId="653BD4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82" w:type="dxa"/>
            <w:vAlign w:val="center"/>
          </w:tcPr>
          <w:p w14:paraId="28674333">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联系人</w:t>
            </w:r>
          </w:p>
        </w:tc>
        <w:tc>
          <w:tcPr>
            <w:tcW w:w="2282" w:type="dxa"/>
            <w:vAlign w:val="center"/>
          </w:tcPr>
          <w:p w14:paraId="63FDE145">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陈老师</w:t>
            </w:r>
          </w:p>
        </w:tc>
        <w:tc>
          <w:tcPr>
            <w:tcW w:w="2282" w:type="dxa"/>
            <w:vAlign w:val="center"/>
          </w:tcPr>
          <w:p w14:paraId="60BC3493">
            <w:pPr>
              <w:spacing w:line="360" w:lineRule="auto"/>
              <w:jc w:val="center"/>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联系电话</w:t>
            </w:r>
          </w:p>
        </w:tc>
        <w:tc>
          <w:tcPr>
            <w:tcW w:w="1896" w:type="dxa"/>
            <w:vAlign w:val="center"/>
          </w:tcPr>
          <w:p w14:paraId="4BF90AEC">
            <w:pPr>
              <w:spacing w:line="360" w:lineRule="auto"/>
              <w:jc w:val="center"/>
              <w:rPr>
                <w:rFonts w:hint="default"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rPr>
              <w:t>0750-</w:t>
            </w:r>
            <w:r>
              <w:rPr>
                <w:rFonts w:hint="eastAsia" w:cs="宋体" w:asciiTheme="minorEastAsia" w:hAnsiTheme="minorEastAsia" w:eastAsiaTheme="minorEastAsia"/>
                <w:bCs/>
                <w:color w:val="auto"/>
                <w:kern w:val="0"/>
                <w:sz w:val="24"/>
                <w:szCs w:val="24"/>
                <w:lang w:val="en-US" w:eastAsia="zh-CN"/>
              </w:rPr>
              <w:t>3728581</w:t>
            </w:r>
          </w:p>
        </w:tc>
      </w:tr>
    </w:tbl>
    <w:p w14:paraId="0888F13D">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二、项目背景</w:t>
      </w:r>
    </w:p>
    <w:p w14:paraId="7F3F0CEA">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为保障江门市技师学院潮连校区教学楼各类考试工作的顺利开展，确保考试指令清晰传达、考场纪律有效宣讲，提升考试场地管理的规范化与信息化水平，现规划建设潮连校区2、5号教学楼考试场地语音广播系统项目，为校区指定教学楼考试场地打造一套功能适配、性能稳定、操作便捷的专用语音广播系统。</w:t>
      </w:r>
    </w:p>
    <w:p w14:paraId="66F8B3AE">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三、建设目标</w:t>
      </w:r>
    </w:p>
    <w:p w14:paraId="401D393D">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（一）构建覆盖2、5号教学楼所有考试教室、走廊及周边关联区域的语音广播网络，实现考试相关语音信息的精准、清晰、无死角传播，保障每个考场区域都能稳定接收音频信号。</w:t>
      </w:r>
    </w:p>
    <w:p w14:paraId="0D597D45">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（二）满足各类考试组织、日常教学通知、考场纪律宣讲、应急处置等不同场景下的广播需求，具备考试指令播报、标准化流程宣讲、紧急通知发布等核心功能。</w:t>
      </w:r>
    </w:p>
    <w:p w14:paraId="4BCE9A51">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（三）采用成熟、可靠的技术和专用设备，确保系统运行稳定无故障，操作流程简洁直观，适配考场工作人员快速上手使用，同时便于后期常态化维护与管理。</w:t>
      </w:r>
    </w:p>
    <w:p w14:paraId="5BA39AF7">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四、功能要求</w:t>
      </w:r>
    </w:p>
    <w:p w14:paraId="3065184A">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一）区域覆盖需求：需精准覆盖2、5号教学楼各考试教室、楼层走廊、楼梯间等关键区域，根据不同区域的空间结构、面积大小及使用场景（如教室密闭性、走廊空旷性），科学布置广播设备，确保音频信号均匀覆盖，无声音盲区、无信号干扰，保障每个考场内的考生都能清晰接收语音信息。</w:t>
      </w:r>
    </w:p>
    <w:p w14:paraId="5D9C0613">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highlight w:val="none"/>
          <w:lang w:val="en-US" w:eastAsia="zh-CN" w:bidi="ar-SA"/>
        </w:rPr>
      </w:pPr>
      <w:r>
        <w:rPr>
          <w:rFonts w:hint="eastAsia" w:cs="宋体" w:asciiTheme="minorEastAsia" w:hAnsiTheme="minorEastAsia" w:eastAsiaTheme="minorEastAsia"/>
          <w:bCs/>
          <w:color w:val="auto"/>
          <w:kern w:val="0"/>
          <w:sz w:val="28"/>
          <w:szCs w:val="28"/>
          <w:highlight w:val="none"/>
          <w:lang w:val="en-US" w:eastAsia="zh-CN" w:bidi="ar-SA"/>
        </w:rPr>
        <w:t>（二）考试组织专用功能：支持考试全流程语音指令播报（如考前入场提示、考试开始/结束指令、中场休息通知等），可实现单考场、多考场分组或全区域统一播报，满足不同考试类型的组织需求；2、5号教学楼能分别独立控制语音播报；具备标准化宣讲内容预存与一键播放功能，便于考场纪律、考试规则等内容的统一传达。</w:t>
      </w:r>
    </w:p>
    <w:p w14:paraId="794C0273">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三）应急处置功能：在考试期间突发紧急情况（如设备故障、人员突发状况、紧急疏散等）时，可快速切换至应急广播模式，精准、清晰地发布紧急通知和疏散指令，保障考生与工作人员的安全，协助快速处置突发情况。</w:t>
      </w:r>
    </w:p>
    <w:p w14:paraId="4BD9CB62">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四）音质与稳定性需求：要求广播声音清晰、洪亮、无杂音、无失真，语音辨识度高，可有效穿透考场门窗等障碍物；在考场环境（相对安静）及走廊环境（可能存在人员流动噪声）下，均能保证语音信息准确传达；系统需具备抗干扰能力，避免与校园其他电子设备产生信号冲突，确保考试期间广播系统稳定运行。</w:t>
      </w:r>
    </w:p>
    <w:p w14:paraId="5C30AF38">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default" w:cs="宋体" w:asciiTheme="minorEastAsia" w:hAnsiTheme="minorEastAsia" w:eastAsiaTheme="minorEastAsia"/>
          <w:bCs/>
          <w:color w:val="auto"/>
          <w:kern w:val="0"/>
          <w:sz w:val="28"/>
          <w:szCs w:val="28"/>
          <w:lang w:val="en-US" w:eastAsia="zh-CN" w:bidi="ar-SA"/>
        </w:rPr>
      </w:pPr>
      <w:r>
        <w:rPr>
          <w:rFonts w:hint="eastAsia" w:cs="宋体" w:asciiTheme="minorEastAsia" w:hAnsiTheme="minorEastAsia" w:eastAsiaTheme="minorEastAsia"/>
          <w:bCs/>
          <w:color w:val="auto"/>
          <w:kern w:val="0"/>
          <w:sz w:val="28"/>
          <w:szCs w:val="28"/>
          <w:lang w:val="en-US" w:eastAsia="zh-CN" w:bidi="ar-SA"/>
        </w:rPr>
        <w:t>（五）时间同步功能：新建的潮连校区教学楼语音广播系统须实现与现有考试监控系统的时间同步功能。为确保两套系统在时间上达到精准一致，需以北京时间为统一标准，通过可靠的技术手段进行严格对时，从而保证日常教学管理和各类考试安排中的时间信号准确、可靠、无误差。</w:t>
      </w:r>
    </w:p>
    <w:p w14:paraId="08C1F5B2">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lang w:val="en-US" w:eastAsia="zh-CN"/>
        </w:rPr>
        <w:t>五</w:t>
      </w:r>
      <w:r>
        <w:rPr>
          <w:rFonts w:hint="eastAsia" w:cs="宋体" w:asciiTheme="minorEastAsia" w:hAnsiTheme="minorEastAsia" w:eastAsiaTheme="minorEastAsia"/>
          <w:bCs/>
          <w:color w:val="auto"/>
          <w:kern w:val="0"/>
          <w:sz w:val="28"/>
          <w:szCs w:val="28"/>
        </w:rPr>
        <w:t>、投标人资格条件要求</w:t>
      </w:r>
    </w:p>
    <w:p w14:paraId="3820E365">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1.投标人应具备《中华人民共和国政府采购法》第二十二条规定的条件；</w:t>
      </w:r>
    </w:p>
    <w:p w14:paraId="3B09AE41">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2.营业执照经营范围须与本项目相符；</w:t>
      </w:r>
    </w:p>
    <w:p w14:paraId="23608F0F">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lang w:val="en-US" w:eastAsia="zh-CN"/>
        </w:rPr>
        <w:t>六</w:t>
      </w:r>
      <w:r>
        <w:rPr>
          <w:rFonts w:hint="eastAsia" w:cs="宋体" w:asciiTheme="minorEastAsia" w:hAnsiTheme="minorEastAsia" w:eastAsiaTheme="minorEastAsia"/>
          <w:bCs/>
          <w:color w:val="auto"/>
          <w:kern w:val="0"/>
          <w:sz w:val="28"/>
          <w:szCs w:val="28"/>
        </w:rPr>
        <w:t>、现场踏勘</w:t>
      </w:r>
    </w:p>
    <w:p w14:paraId="6C409534">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1.本项目在公示期内（节假日除外）每天上午10：00～11：00时（其他时段不受理）接受电话预约。业务联系人：陈老师</w:t>
      </w:r>
      <w:r>
        <w:rPr>
          <w:rFonts w:hint="eastAsia" w:cs="宋体" w:asciiTheme="minorEastAsia" w:hAnsiTheme="minorEastAsia" w:eastAsiaTheme="minorEastAsia"/>
          <w:bCs/>
          <w:color w:val="auto"/>
          <w:kern w:val="0"/>
          <w:sz w:val="28"/>
          <w:szCs w:val="28"/>
          <w:lang w:val="en-US" w:eastAsia="zh-CN"/>
        </w:rPr>
        <w:t xml:space="preserve"> </w:t>
      </w:r>
      <w:r>
        <w:rPr>
          <w:rFonts w:hint="eastAsia" w:cs="宋体" w:asciiTheme="minorEastAsia" w:hAnsiTheme="minorEastAsia" w:eastAsiaTheme="minorEastAsia"/>
          <w:bCs/>
          <w:color w:val="auto"/>
          <w:kern w:val="0"/>
          <w:sz w:val="28"/>
          <w:szCs w:val="28"/>
        </w:rPr>
        <w:t>电话：0750-</w:t>
      </w:r>
      <w:r>
        <w:rPr>
          <w:rFonts w:hint="eastAsia" w:cs="宋体" w:asciiTheme="minorEastAsia" w:hAnsiTheme="minorEastAsia" w:eastAsiaTheme="minorEastAsia"/>
          <w:bCs/>
          <w:color w:val="auto"/>
          <w:kern w:val="0"/>
          <w:sz w:val="28"/>
          <w:szCs w:val="28"/>
          <w:lang w:val="en-US" w:eastAsia="zh-CN"/>
        </w:rPr>
        <w:t>3882331</w:t>
      </w:r>
      <w:r>
        <w:rPr>
          <w:rFonts w:hint="eastAsia" w:cs="宋体" w:asciiTheme="minorEastAsia" w:hAnsiTheme="minorEastAsia" w:eastAsiaTheme="minorEastAsia"/>
          <w:bCs/>
          <w:color w:val="auto"/>
          <w:kern w:val="0"/>
          <w:sz w:val="28"/>
          <w:szCs w:val="28"/>
        </w:rPr>
        <w:t>。</w:t>
      </w:r>
    </w:p>
    <w:p w14:paraId="5A1C388A">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2.投标人按约定时间在校门口等待（江门市</w:t>
      </w:r>
      <w:r>
        <w:rPr>
          <w:rFonts w:hint="eastAsia" w:cs="宋体" w:asciiTheme="minorEastAsia" w:hAnsiTheme="minorEastAsia" w:eastAsiaTheme="minorEastAsia"/>
          <w:bCs/>
          <w:color w:val="auto"/>
          <w:kern w:val="0"/>
          <w:sz w:val="28"/>
          <w:szCs w:val="28"/>
          <w:lang w:val="en-US" w:eastAsia="zh-CN"/>
        </w:rPr>
        <w:t>蓬江区</w:t>
      </w:r>
      <w:r>
        <w:rPr>
          <w:rFonts w:hint="eastAsia" w:cs="宋体" w:asciiTheme="minorEastAsia" w:hAnsiTheme="minorEastAsia" w:eastAsiaTheme="minorEastAsia"/>
          <w:bCs/>
          <w:color w:val="auto"/>
          <w:kern w:val="0"/>
          <w:sz w:val="28"/>
          <w:szCs w:val="28"/>
        </w:rPr>
        <w:t>潮连环岛西路22号），由</w:t>
      </w:r>
      <w:r>
        <w:rPr>
          <w:rFonts w:hint="eastAsia" w:cs="宋体" w:asciiTheme="minorEastAsia" w:hAnsiTheme="minorEastAsia" w:eastAsiaTheme="minorEastAsia"/>
          <w:bCs/>
          <w:color w:val="auto"/>
          <w:kern w:val="0"/>
          <w:sz w:val="28"/>
          <w:szCs w:val="28"/>
          <w:lang w:val="en-US" w:eastAsia="zh-CN"/>
        </w:rPr>
        <w:t>信息中心</w:t>
      </w:r>
      <w:r>
        <w:rPr>
          <w:rFonts w:hint="eastAsia" w:cs="宋体" w:asciiTheme="minorEastAsia" w:hAnsiTheme="minorEastAsia" w:eastAsiaTheme="minorEastAsia"/>
          <w:bCs/>
          <w:color w:val="auto"/>
          <w:kern w:val="0"/>
          <w:sz w:val="28"/>
          <w:szCs w:val="28"/>
        </w:rPr>
        <w:t>工作人员带领现场勘察。</w:t>
      </w:r>
    </w:p>
    <w:p w14:paraId="26DDD96C">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lang w:val="en-US" w:eastAsia="zh-CN"/>
        </w:rPr>
        <w:t>七</w:t>
      </w:r>
      <w:r>
        <w:rPr>
          <w:rFonts w:hint="eastAsia" w:cs="宋体" w:asciiTheme="minorEastAsia" w:hAnsiTheme="minorEastAsia" w:eastAsiaTheme="minorEastAsia"/>
          <w:bCs/>
          <w:color w:val="auto"/>
          <w:kern w:val="0"/>
          <w:sz w:val="28"/>
          <w:szCs w:val="28"/>
        </w:rPr>
        <w:t>、报价要求。本项目为总价包干（包括但不限于</w:t>
      </w:r>
      <w:r>
        <w:rPr>
          <w:rFonts w:hint="eastAsia" w:cs="宋体" w:asciiTheme="minorEastAsia" w:hAnsiTheme="minorEastAsia" w:eastAsiaTheme="minorEastAsia"/>
          <w:bCs/>
          <w:color w:val="auto"/>
          <w:kern w:val="0"/>
          <w:sz w:val="28"/>
          <w:szCs w:val="28"/>
          <w:lang w:val="en-US" w:eastAsia="zh-CN"/>
        </w:rPr>
        <w:t>设备、</w:t>
      </w:r>
      <w:r>
        <w:rPr>
          <w:rFonts w:hint="eastAsia" w:cs="宋体" w:asciiTheme="minorEastAsia" w:hAnsiTheme="minorEastAsia" w:eastAsiaTheme="minorEastAsia"/>
          <w:bCs/>
          <w:color w:val="auto"/>
          <w:kern w:val="0"/>
          <w:sz w:val="28"/>
          <w:szCs w:val="28"/>
        </w:rPr>
        <w:t>运费、材料费、工具设备费、安装调试费、包装费、检测费、</w:t>
      </w:r>
      <w:r>
        <w:rPr>
          <w:rFonts w:hint="eastAsia" w:cs="宋体" w:asciiTheme="minorEastAsia" w:hAnsiTheme="minorEastAsia" w:eastAsiaTheme="minorEastAsia"/>
          <w:bCs/>
          <w:color w:val="auto"/>
          <w:kern w:val="0"/>
          <w:sz w:val="28"/>
          <w:szCs w:val="28"/>
          <w:lang w:val="en-US" w:eastAsia="zh-CN"/>
        </w:rPr>
        <w:t>系统软件升级、</w:t>
      </w:r>
      <w:r>
        <w:rPr>
          <w:rFonts w:hint="eastAsia" w:cs="宋体" w:asciiTheme="minorEastAsia" w:hAnsiTheme="minorEastAsia" w:eastAsiaTheme="minorEastAsia"/>
          <w:bCs/>
          <w:color w:val="auto"/>
          <w:kern w:val="0"/>
          <w:sz w:val="28"/>
          <w:szCs w:val="28"/>
        </w:rPr>
        <w:t>人工费、管理费、利润、不可预见费、其它项目费、税金等所有相关费用），本次报价结合现场勘察情况进行报价，所需的一切费用均计入报价，采购人不支付中标价以外的其他款项。</w:t>
      </w:r>
    </w:p>
    <w:p w14:paraId="62256A17">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default"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 w:val="0"/>
          <w:bCs/>
          <w:color w:val="auto"/>
          <w:kern w:val="0"/>
          <w:sz w:val="28"/>
          <w:szCs w:val="28"/>
          <w:lang w:val="en-US" w:eastAsia="zh-CN"/>
        </w:rPr>
        <w:t>八、项目总工期</w:t>
      </w:r>
      <w:r>
        <w:rPr>
          <w:rFonts w:hint="eastAsia" w:cs="宋体" w:asciiTheme="minorEastAsia" w:hAnsiTheme="minorEastAsia" w:eastAsiaTheme="minorEastAsia"/>
          <w:bCs/>
          <w:color w:val="auto"/>
          <w:kern w:val="0"/>
          <w:sz w:val="28"/>
          <w:szCs w:val="28"/>
          <w:lang w:val="en-US" w:eastAsia="zh-CN"/>
        </w:rPr>
        <w:t>为：合同签定后7个工作日内完成。</w:t>
      </w:r>
    </w:p>
    <w:p w14:paraId="588E84A8">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cs="宋体" w:asciiTheme="minorEastAsia" w:hAnsiTheme="minorEastAsia" w:eastAsiaTheme="minorEastAsia"/>
          <w:b w:val="0"/>
          <w:bCs/>
          <w:color w:val="auto"/>
          <w:kern w:val="0"/>
          <w:sz w:val="28"/>
          <w:szCs w:val="28"/>
        </w:rPr>
      </w:pPr>
      <w:r>
        <w:rPr>
          <w:rFonts w:hint="eastAsia" w:cs="宋体" w:asciiTheme="minorEastAsia" w:hAnsiTheme="minorEastAsia" w:eastAsiaTheme="minorEastAsia"/>
          <w:b w:val="0"/>
          <w:bCs/>
          <w:color w:val="auto"/>
          <w:kern w:val="0"/>
          <w:sz w:val="28"/>
          <w:szCs w:val="28"/>
          <w:lang w:val="en-US" w:eastAsia="zh-CN"/>
        </w:rPr>
        <w:t>九</w:t>
      </w:r>
      <w:r>
        <w:rPr>
          <w:rFonts w:hint="eastAsia" w:cs="宋体" w:asciiTheme="minorEastAsia" w:hAnsiTheme="minorEastAsia" w:eastAsiaTheme="minorEastAsia"/>
          <w:b w:val="0"/>
          <w:bCs/>
          <w:color w:val="auto"/>
          <w:kern w:val="0"/>
          <w:sz w:val="28"/>
          <w:szCs w:val="28"/>
        </w:rPr>
        <w:t>、</w:t>
      </w:r>
      <w:r>
        <w:rPr>
          <w:rFonts w:hint="eastAsia" w:cs="宋体" w:asciiTheme="minorEastAsia" w:hAnsiTheme="minorEastAsia" w:eastAsiaTheme="minorEastAsia"/>
          <w:b w:val="0"/>
          <w:bCs/>
          <w:color w:val="auto"/>
          <w:kern w:val="0"/>
          <w:sz w:val="28"/>
          <w:szCs w:val="28"/>
          <w:lang w:val="en-US" w:eastAsia="zh-CN"/>
        </w:rPr>
        <w:t>项目</w:t>
      </w:r>
      <w:r>
        <w:rPr>
          <w:rFonts w:hint="eastAsia" w:cs="宋体" w:asciiTheme="minorEastAsia" w:hAnsiTheme="minorEastAsia" w:eastAsiaTheme="minorEastAsia"/>
          <w:b w:val="0"/>
          <w:bCs/>
          <w:color w:val="auto"/>
          <w:kern w:val="0"/>
          <w:sz w:val="28"/>
          <w:szCs w:val="28"/>
        </w:rPr>
        <w:t>需求</w:t>
      </w:r>
    </w:p>
    <w:p w14:paraId="19059C8E">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（一）采购项目技术规格、参数及要求</w:t>
      </w:r>
    </w:p>
    <w:p w14:paraId="3E708674">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1.货物详细设备要求及技术参数</w:t>
      </w:r>
    </w:p>
    <w:tbl>
      <w:tblPr>
        <w:tblStyle w:val="15"/>
        <w:tblW w:w="87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258"/>
        <w:gridCol w:w="5433"/>
        <w:gridCol w:w="708"/>
        <w:gridCol w:w="708"/>
      </w:tblGrid>
      <w:tr w14:paraId="7EAD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2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3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6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参数要求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2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r>
      <w:tr w14:paraId="1409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12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2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前置放大器</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EE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1.1U机柜式、电源开关防触碰设计；双层双色双拼前面板。</w:t>
            </w:r>
          </w:p>
          <w:p w14:paraId="55E523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10个输入通道:包括4路XLR、TRS二合一接口话筒(MIC)输入，1路TRS接口强切话筒(MIC)输入，3路标准信号线路(AUX)输入，2路紧急线路(EMC)输入。（要求提供第三方检验检测机构出具的此内容的检测报告（报告须有CNAS章）复印件，加盖生产企业公章）</w:t>
            </w:r>
          </w:p>
          <w:p w14:paraId="193D33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3.≥2路线路输出，可接入下一台功放或其它音频设备输入接口。</w:t>
            </w:r>
          </w:p>
          <w:p w14:paraId="630389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4.MIC 1具有钟声提示开关，点击可发出钟声提醒。</w:t>
            </w:r>
          </w:p>
          <w:p w14:paraId="26FAF5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5.话筒接口带+48V幻象电源带有独立幻象电源开关，为电容话筒提供电源。</w:t>
            </w:r>
          </w:p>
          <w:p w14:paraId="5F24FD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6.话筒输入：5mV/600Ω 非平衡</w:t>
            </w:r>
          </w:p>
          <w:p w14:paraId="700079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7.辅助输入：3500mV/10KΩ 非平衡</w:t>
            </w:r>
          </w:p>
          <w:p w14:paraId="347828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8.紧急话筒输入：5mV-25mV/600Ω 非平衡</w:t>
            </w:r>
          </w:p>
          <w:p w14:paraId="75FDF9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9.紧急线路输入：200mV-1000mV/10KΩ 非平衡</w:t>
            </w:r>
          </w:p>
          <w:p w14:paraId="4F80DE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10.音频输出：10KΩ，0-6V非平衡</w:t>
            </w:r>
          </w:p>
          <w:p w14:paraId="7C4C3C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11.输出静噪：≤3mV</w:t>
            </w:r>
          </w:p>
          <w:p w14:paraId="7530E8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12.频率响应：20Hz-20KHz</w:t>
            </w:r>
          </w:p>
          <w:p w14:paraId="7FBBE1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13.信噪比：MIC 输入：50dB AUX输入：80dB</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B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31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5FC2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8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7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无线一拖二手持话筒</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C28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1.U段无线话筒，采用真分集设计，内置天线放大器，频率范围在UHF640-690MHz之间。具有自动默音、自动待机、自动关机、话筒落地自动感应静音和啸叫抑制等功能。</w:t>
            </w:r>
          </w:p>
          <w:p w14:paraId="380390C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2.支持自动扫频功能，可自动寻找环境最干净的频点作为接收机的使用频率。</w:t>
            </w:r>
          </w:p>
          <w:p w14:paraId="48F12AD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3.设有LCD动态液晶显示屏，可实时显示话筒在线、掉频状态，音量指示、通道、频率等信息。</w:t>
            </w:r>
          </w:p>
          <w:p w14:paraId="4825323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4.支持单通道平衡输出及6.35非平衡混合输出，适用不同传输距离场合，可自由选择连接。</w:t>
            </w:r>
          </w:p>
          <w:p w14:paraId="4FA4E75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5.手持麦克风，内置LCD显示屏，可用于显示频道和电池电量信息，电池低压闪烁至1.8V自动关机。</w:t>
            </w:r>
          </w:p>
          <w:p w14:paraId="344C36A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6.双通道设计，每通道具有≥32个频率选择，≥64个可调频点，易于操作。</w:t>
            </w:r>
          </w:p>
          <w:p w14:paraId="08029B9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7.空旷条件下≥300米使用范围，复杂环境下≥150米使用距离。</w:t>
            </w:r>
          </w:p>
          <w:p w14:paraId="0416569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8.配套有≥1台接收主机，≥2个手持话筒。</w:t>
            </w:r>
          </w:p>
          <w:p w14:paraId="6E07B10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9.频率范围：640-690MHz</w:t>
            </w:r>
          </w:p>
          <w:p w14:paraId="71DE23E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10.可调范围：≥60MHz</w:t>
            </w:r>
          </w:p>
          <w:p w14:paraId="4037BF9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11.信道范围：≥300</w:t>
            </w:r>
          </w:p>
          <w:p w14:paraId="778889B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12.频率稳定度：±0.005%以内</w:t>
            </w:r>
          </w:p>
          <w:p w14:paraId="04B758D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13.动态范围：&gt;105Db</w:t>
            </w:r>
          </w:p>
          <w:p w14:paraId="25A2589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14.最大频偏：±45KHz</w:t>
            </w:r>
          </w:p>
          <w:p w14:paraId="77BE5A8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15.音频响应：30Hz-18KHz（±3dB）</w:t>
            </w:r>
          </w:p>
          <w:p w14:paraId="610A352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16.综合S/N比：&gt;115dB</w:t>
            </w:r>
          </w:p>
          <w:p w14:paraId="1192D87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17.综合失真：&lt;0.2%</w:t>
            </w:r>
          </w:p>
          <w:p w14:paraId="42DDAA5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▲18.要求所投产品具有“无线电发射设备型号核准证”证书，提供证书复制件并加盖生产企业公章，证书编号网上可查询；</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1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8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6243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F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67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天线分配器系统</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3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UHF天线分配系统，</w:t>
            </w:r>
            <w:r>
              <w:rPr>
                <w:rFonts w:hint="eastAsia" w:ascii="宋体" w:hAnsi="宋体" w:eastAsia="宋体" w:cs="宋体"/>
                <w:i w:val="0"/>
                <w:iCs w:val="0"/>
                <w:color w:val="auto"/>
                <w:sz w:val="18"/>
                <w:szCs w:val="18"/>
                <w:highlight w:val="none"/>
                <w:u w:val="none"/>
                <w:lang w:val="en-US" w:eastAsia="zh-CN"/>
              </w:rPr>
              <w:t>可</w:t>
            </w:r>
            <w:r>
              <w:rPr>
                <w:rFonts w:hint="eastAsia" w:ascii="宋体" w:hAnsi="宋体" w:eastAsia="宋体" w:cs="宋体"/>
                <w:i w:val="0"/>
                <w:iCs w:val="0"/>
                <w:color w:val="auto"/>
                <w:sz w:val="18"/>
                <w:szCs w:val="18"/>
                <w:highlight w:val="none"/>
                <w:u w:val="none"/>
              </w:rPr>
              <w:t>通过将一对天线拆分给无线接收机来扩展无线话筒系统的功能；</w:t>
            </w:r>
          </w:p>
          <w:p w14:paraId="1196E5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2</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一台分配器主机能为≥4台双天线的接收机提供信号，或能为≥2台四天线的接收机提供信号；</w:t>
            </w:r>
          </w:p>
          <w:p w14:paraId="5A4B5B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3</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具有级联端口能够连接到第五个接收机或第二台分配器；</w:t>
            </w:r>
          </w:p>
          <w:p w14:paraId="590F82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4</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具有≥4组能够输出为无线接收机UHF系统供电的电源接口。</w:t>
            </w:r>
          </w:p>
          <w:p w14:paraId="71E8C2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5</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天线使用对数周期偶极子阵列提供增强的接收能力；</w:t>
            </w:r>
          </w:p>
          <w:p w14:paraId="65516A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6</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支持母线BNC类型接头，拥有≥12个BNC接口，接收频率范围470-952MHz；</w:t>
            </w:r>
          </w:p>
          <w:p w14:paraId="6CAD11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7</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两点增益选择开关可选择3或10分贝增益；</w:t>
            </w:r>
          </w:p>
          <w:p w14:paraId="100D15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8</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定向天线板配合带有螺纹的集成式支架，可固定在话筒支架上，也可将其悬挂在天花板或墙壁上；</w:t>
            </w:r>
          </w:p>
          <w:p w14:paraId="42B176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9</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在户外使用不受天气影响。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B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3E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217B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9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8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NTP 时间服务器</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093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设备采用冗余架构设计，直接来源于北斗、GPS 系统（双模）或者只接收北斗系统中各个卫星的原子钟，通过信号解析驯服本地时钟源，实现卫星信号丢失后本地时钟精准保持功能。</w:t>
            </w:r>
          </w:p>
          <w:p w14:paraId="51DFA79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rPr>
              <w:t>含</w:t>
            </w:r>
            <w:r>
              <w:rPr>
                <w:rFonts w:hint="eastAsia" w:ascii="宋体" w:hAnsi="宋体" w:eastAsia="宋体" w:cs="宋体"/>
                <w:i w:val="0"/>
                <w:iCs w:val="0"/>
                <w:color w:val="auto"/>
                <w:sz w:val="18"/>
                <w:szCs w:val="18"/>
                <w:highlight w:val="none"/>
                <w:u w:val="none"/>
                <w:lang w:val="en-US" w:eastAsia="zh-CN"/>
              </w:rPr>
              <w:t>10米蘑菇头</w:t>
            </w:r>
          </w:p>
          <w:p w14:paraId="2C5E934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sz w:val="18"/>
                <w:szCs w:val="18"/>
                <w:highlight w:val="yellow"/>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rPr>
              <w:t>3.</w:t>
            </w:r>
            <w:r>
              <w:rPr>
                <w:rFonts w:hint="default" w:ascii="宋体" w:hAnsi="宋体" w:eastAsia="宋体" w:cs="宋体"/>
                <w:i w:val="0"/>
                <w:iCs w:val="0"/>
                <w:color w:val="auto"/>
                <w:sz w:val="18"/>
                <w:szCs w:val="18"/>
                <w:highlight w:val="none"/>
                <w:u w:val="none"/>
                <w:lang w:val="en-US" w:eastAsia="zh-CN"/>
              </w:rPr>
              <w:t>设备内电容器的放电</w:t>
            </w:r>
            <w:r>
              <w:rPr>
                <w:rFonts w:hint="eastAsia" w:ascii="宋体" w:hAnsi="宋体" w:eastAsia="宋体" w:cs="宋体"/>
                <w:i w:val="0"/>
                <w:iCs w:val="0"/>
                <w:color w:val="auto"/>
                <w:sz w:val="18"/>
                <w:szCs w:val="18"/>
                <w:highlight w:val="none"/>
                <w:u w:val="none"/>
                <w:lang w:val="en-US" w:eastAsia="zh-CN"/>
              </w:rPr>
              <w:t>,开关稳压电源通过CCC认证.</w:t>
            </w:r>
            <w:r>
              <w:rPr>
                <w:rFonts w:hint="eastAsia" w:ascii="宋体" w:hAnsi="宋体" w:eastAsia="宋体" w:cs="宋体"/>
                <w:i w:val="0"/>
                <w:iCs w:val="0"/>
                <w:color w:val="auto"/>
                <w:kern w:val="0"/>
                <w:sz w:val="18"/>
                <w:szCs w:val="18"/>
                <w:highlight w:val="none"/>
                <w:u w:val="none"/>
                <w:lang w:val="en-US" w:eastAsia="zh-CN" w:bidi="ar"/>
              </w:rPr>
              <w:t>（投标时要求提供中国合格评定国家认可委员会（CNAS）认可的第三方检验检测机构出具的此内容的检测报告（报告须有CNAS章）复印件，加盖生产企业公章）</w:t>
            </w:r>
          </w:p>
          <w:p w14:paraId="64FC95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rPr>
              <w:t>可同步数万台客户端、服务器和工作站等设备时钟。</w:t>
            </w:r>
          </w:p>
          <w:p w14:paraId="5EEF36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5.4</w:t>
            </w:r>
            <w:r>
              <w:rPr>
                <w:rFonts w:hint="eastAsia" w:ascii="宋体" w:hAnsi="宋体" w:eastAsia="宋体" w:cs="宋体"/>
                <w:i w:val="0"/>
                <w:iCs w:val="0"/>
                <w:color w:val="auto"/>
                <w:sz w:val="18"/>
                <w:szCs w:val="18"/>
                <w:highlight w:val="none"/>
                <w:u w:val="none"/>
              </w:rPr>
              <w:t>路 NTP 网口可选，方便网络配置和改建。</w:t>
            </w:r>
          </w:p>
          <w:p w14:paraId="2BA2AD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6.</w:t>
            </w:r>
            <w:r>
              <w:rPr>
                <w:rFonts w:hint="eastAsia" w:ascii="宋体" w:hAnsi="宋体" w:eastAsia="宋体" w:cs="宋体"/>
                <w:i w:val="0"/>
                <w:iCs w:val="0"/>
                <w:color w:val="auto"/>
                <w:sz w:val="18"/>
                <w:szCs w:val="18"/>
                <w:highlight w:val="none"/>
                <w:u w:val="none"/>
              </w:rPr>
              <w:t>支持 GPS 和北斗卫星授时（双模）或者单北斗系统授时，获取可靠安全的时间。</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FC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0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r>
      <w:tr w14:paraId="0400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6D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F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广播音柱</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0C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采用铝镁合金制作的外壳，可抵挡日晒、风吹、雨淋。</w:t>
            </w:r>
          </w:p>
          <w:p w14:paraId="10FF84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2</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适用于室内外各种环境之中。</w:t>
            </w:r>
          </w:p>
          <w:p w14:paraId="59B392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3</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额定功率：≥90W</w:t>
            </w:r>
          </w:p>
          <w:p w14:paraId="61A8E0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4</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输入：100V</w:t>
            </w:r>
          </w:p>
          <w:p w14:paraId="05C94F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5</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阻抗：110Ω</w:t>
            </w:r>
          </w:p>
          <w:p w14:paraId="1D4BB3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6</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灵敏度：≥98dB</w:t>
            </w:r>
          </w:p>
          <w:p w14:paraId="518198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7</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频率响应：50Hz-18KHz</w:t>
            </w:r>
          </w:p>
          <w:p w14:paraId="6FE960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8</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喇叭单元：≥5.25"×3 3"×1</w:t>
            </w:r>
          </w:p>
          <w:p w14:paraId="2BAA85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9</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防护等级：≥IPX6防水</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4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46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w:t>
            </w:r>
          </w:p>
        </w:tc>
      </w:tr>
      <w:tr w14:paraId="0068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5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4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数字定压功放</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A7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1U机柜式、电源开关防触碰设计；双层双色双拼前面板，采用隐藏式条形出气口及弧形进风口设计</w:t>
            </w:r>
            <w:r>
              <w:rPr>
                <w:rFonts w:hint="eastAsia" w:ascii="宋体" w:hAnsi="宋体" w:eastAsia="宋体" w:cs="宋体"/>
                <w:i w:val="0"/>
                <w:iCs w:val="0"/>
                <w:color w:val="auto"/>
                <w:sz w:val="18"/>
                <w:szCs w:val="18"/>
                <w:highlight w:val="none"/>
                <w:u w:val="none"/>
                <w:lang w:eastAsia="zh-CN"/>
              </w:rPr>
              <w:t>。</w:t>
            </w:r>
          </w:p>
          <w:p w14:paraId="78D3E2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2</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D类功率放大电路设计，损耗小具备90%以上的放大效率。</w:t>
            </w:r>
          </w:p>
          <w:p w14:paraId="35A791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3</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具有≥4路音源输入，其中2路标准线路信号，1路标准话筒信号,1路报警信号。</w:t>
            </w:r>
          </w:p>
          <w:p w14:paraId="38BA10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4</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具有≥2个音量调节旋钮，其中1个线路调节，1个话筒调节。</w:t>
            </w:r>
          </w:p>
          <w:p w14:paraId="5B3CAC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5</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具有≥1路音源输出，可环接至下一台功放音频输入接口。</w:t>
            </w:r>
          </w:p>
          <w:p w14:paraId="407588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6.</w:t>
            </w:r>
            <w:r>
              <w:rPr>
                <w:rFonts w:hint="eastAsia" w:ascii="宋体" w:hAnsi="宋体" w:eastAsia="宋体" w:cs="宋体"/>
                <w:i w:val="0"/>
                <w:iCs w:val="0"/>
                <w:color w:val="auto"/>
                <w:sz w:val="18"/>
                <w:szCs w:val="18"/>
                <w:highlight w:val="none"/>
                <w:u w:val="none"/>
              </w:rPr>
              <w:t>内置≥800W定阻（4-16Ω）/定压（70V/100V）功率输出，支持外接音箱。</w:t>
            </w:r>
          </w:p>
          <w:p w14:paraId="3142BE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7.</w:t>
            </w:r>
            <w:r>
              <w:rPr>
                <w:rFonts w:hint="eastAsia" w:ascii="宋体" w:hAnsi="宋体" w:eastAsia="宋体" w:cs="宋体"/>
                <w:i w:val="0"/>
                <w:iCs w:val="0"/>
                <w:color w:val="auto"/>
                <w:sz w:val="18"/>
                <w:szCs w:val="18"/>
                <w:highlight w:val="none"/>
                <w:u w:val="none"/>
              </w:rPr>
              <w:t>工作状态≥6个信号灯实时指示，一目了然。</w:t>
            </w:r>
          </w:p>
          <w:p w14:paraId="0AFF7D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8.</w:t>
            </w:r>
            <w:r>
              <w:rPr>
                <w:rFonts w:hint="eastAsia" w:ascii="宋体" w:hAnsi="宋体" w:eastAsia="宋体" w:cs="宋体"/>
                <w:i w:val="0"/>
                <w:iCs w:val="0"/>
                <w:color w:val="auto"/>
                <w:sz w:val="18"/>
                <w:szCs w:val="18"/>
                <w:highlight w:val="none"/>
                <w:u w:val="none"/>
              </w:rPr>
              <w:t>输入灵敏度/阻抗：MIC:25mV/600Ω，不平衡TRS端子输入；AUX:350mV/10KΩ，不平衡RCA端子输入</w:t>
            </w:r>
          </w:p>
          <w:p w14:paraId="69D468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9.</w:t>
            </w:r>
            <w:r>
              <w:rPr>
                <w:rFonts w:hint="eastAsia" w:ascii="宋体" w:hAnsi="宋体" w:eastAsia="宋体" w:cs="宋体"/>
                <w:i w:val="0"/>
                <w:iCs w:val="0"/>
                <w:color w:val="auto"/>
                <w:sz w:val="18"/>
                <w:szCs w:val="18"/>
                <w:highlight w:val="none"/>
                <w:u w:val="none"/>
              </w:rPr>
              <w:t>输出灵敏度/阻抗：1000mV/470Ω，不平衡RCA端子输入</w:t>
            </w:r>
          </w:p>
          <w:p w14:paraId="6B5514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0.</w:t>
            </w:r>
            <w:r>
              <w:rPr>
                <w:rFonts w:hint="eastAsia" w:ascii="宋体" w:hAnsi="宋体" w:eastAsia="宋体" w:cs="宋体"/>
                <w:i w:val="0"/>
                <w:iCs w:val="0"/>
                <w:color w:val="auto"/>
                <w:sz w:val="18"/>
                <w:szCs w:val="18"/>
                <w:highlight w:val="none"/>
                <w:u w:val="none"/>
              </w:rPr>
              <w:t>过载源电动势：MIC:＞12dB，不平衡TRS端子输入；AUX:＞20dB，不平衡RCA端子输入</w:t>
            </w:r>
          </w:p>
          <w:p w14:paraId="7CE086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频率响应：50-16KHz(+1dB，-3dB)</w:t>
            </w:r>
          </w:p>
          <w:p w14:paraId="7086CA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rPr>
              <w:t>信噪比：MIC，66dB；AUX，80dB</w:t>
            </w:r>
          </w:p>
          <w:p w14:paraId="45C8E9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rPr>
              <w:t>总谐波失真：1KHz时0.5%，1/3输出功率</w:t>
            </w:r>
          </w:p>
          <w:p w14:paraId="14D887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rPr>
              <w:t>默音功能：MIC优先其他通道</w:t>
            </w:r>
          </w:p>
          <w:p w14:paraId="38ABF7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5.</w:t>
            </w:r>
            <w:r>
              <w:rPr>
                <w:rFonts w:hint="eastAsia" w:ascii="宋体" w:hAnsi="宋体" w:eastAsia="宋体" w:cs="宋体"/>
                <w:i w:val="0"/>
                <w:iCs w:val="0"/>
                <w:color w:val="auto"/>
                <w:sz w:val="18"/>
                <w:szCs w:val="18"/>
                <w:highlight w:val="none"/>
                <w:u w:val="none"/>
              </w:rPr>
              <w:t>通道串音衰减：≤50dB</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20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8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3881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C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线材及配件</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BB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L-A2R1.8音频线、RVVP2*2.5电源线、PVC管、附材</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BE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BB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14:paraId="5F5DDF02">
      <w:pPr>
        <w:keepNext w:val="0"/>
        <w:keepLines w:val="0"/>
        <w:widowControl w:val="0"/>
        <w:numPr>
          <w:ilvl w:val="0"/>
          <w:numId w:val="0"/>
        </w:numPr>
        <w:suppressLineNumbers w:val="0"/>
        <w:pBdr>
          <w:top w:val="none" w:color="auto" w:sz="0" w:space="0"/>
          <w:left w:val="none" w:color="auto" w:sz="0" w:space="0"/>
          <w:right w:val="none" w:color="auto" w:sz="0" w:space="0"/>
        </w:pBdr>
        <w:spacing w:before="0" w:beforeAutospacing="0" w:after="0" w:afterAutospacing="0" w:line="440" w:lineRule="exact"/>
        <w:ind w:leftChars="200" w:right="0" w:rightChars="0"/>
        <w:rPr>
          <w:rFonts w:hint="eastAsia" w:asciiTheme="majorEastAsia" w:hAnsiTheme="majorEastAsia" w:eastAsiaTheme="majorEastAsia" w:cstheme="majorEastAsia"/>
          <w:color w:val="000000"/>
          <w:sz w:val="28"/>
          <w:szCs w:val="28"/>
        </w:rPr>
      </w:pPr>
      <w:r>
        <w:rPr>
          <w:rFonts w:hint="eastAsia" w:cs="宋体" w:asciiTheme="minorEastAsia" w:hAnsiTheme="minorEastAsia" w:eastAsiaTheme="minorEastAsia"/>
          <w:bCs/>
          <w:color w:val="auto"/>
          <w:kern w:val="0"/>
          <w:sz w:val="28"/>
          <w:szCs w:val="28"/>
          <w:lang w:val="en-US" w:eastAsia="zh-CN"/>
        </w:rPr>
        <w:t>（二）安装与施工要求</w:t>
      </w:r>
    </w:p>
    <w:p w14:paraId="7362292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Cs/>
          <w:color w:val="auto"/>
          <w:kern w:val="0"/>
          <w:sz w:val="28"/>
          <w:szCs w:val="28"/>
          <w:lang w:val="en-US" w:eastAsia="zh-CN"/>
        </w:rPr>
        <w:t>1.施工规范遵循：中标供应商需严格按照《建筑电气工程施工质量验收规范》（GB 50303-2015）、《民用建筑电气设计标准》（GB51348-2019）及音频系统安装相关行业标准执行施工，确保安装流程合规、施工质量达标。</w:t>
      </w:r>
    </w:p>
    <w:p w14:paraId="1093A17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Cs/>
          <w:color w:val="auto"/>
          <w:kern w:val="0"/>
          <w:sz w:val="28"/>
          <w:szCs w:val="28"/>
          <w:lang w:val="en-US" w:eastAsia="zh-CN"/>
        </w:rPr>
        <w:t>2.现场勘察与方案确认：中标供应商施工前需结合现场踏勘结果，对2、5号教学楼的考场布局、墙体结构、电源位置等进行精准复核，优化设备安装点位与线路走向，形成详细施工方案，经采购人书面确认后再启动施工。</w:t>
      </w:r>
    </w:p>
    <w:p w14:paraId="5B4DAA8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Cs/>
          <w:color w:val="auto"/>
          <w:kern w:val="0"/>
          <w:sz w:val="28"/>
          <w:szCs w:val="28"/>
          <w:lang w:val="en-US" w:eastAsia="zh-CN"/>
        </w:rPr>
        <w:t>3.设备安装要求：（1）广播音柱：根据教室、走廊的空间尺寸及声学特性合理布设，确保音频覆盖无死角；安装位置需避开障碍物遮挡，室内音柱距地面高度不低于2.5米，室外音柱固定牢固且符合 IPX6 防水使用场景要求，安装后无松动、晃动现象。</w:t>
      </w:r>
    </w:p>
    <w:p w14:paraId="699815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Cs/>
          <w:color w:val="auto"/>
          <w:kern w:val="0"/>
          <w:sz w:val="28"/>
          <w:szCs w:val="28"/>
          <w:lang w:val="en-US" w:eastAsia="zh-CN"/>
        </w:rPr>
        <w:t>4.核心设备（前置放大器、无线话筒接收机、天线分配器、NTP 时间服务器、数字定压功放）：统一安装在机房内指定位置；设备间连接线路规整，标识清晰，便于后期维护；电源连接需符合安全标准，接地可靠，避免漏电风险。</w:t>
      </w:r>
    </w:p>
    <w:p w14:paraId="580D0A9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lang w:val="en-US" w:eastAsia="zh-CN"/>
        </w:rPr>
        <w:t>5.</w:t>
      </w:r>
      <w:r>
        <w:rPr>
          <w:rFonts w:hint="eastAsia" w:cs="宋体" w:asciiTheme="minorEastAsia" w:hAnsiTheme="minorEastAsia" w:eastAsiaTheme="minorEastAsia"/>
          <w:bCs/>
          <w:color w:val="auto"/>
          <w:kern w:val="0"/>
          <w:sz w:val="28"/>
          <w:szCs w:val="28"/>
        </w:rPr>
        <w:t>线路铺设要求：（1）音频线、电源线等线材需采用符合国家标准的产品，与报价表中“线材及配件”规格一致；线路铺设需隐蔽处理，优先利用建筑原有管线或采用PVC管保护，外露部分需排列整齐、固定牢固，不影响建筑美观及正常通行。（2）强电与弱电线路分开敷设，间距不小于30cm，避免信号干扰；线缆连接牢固，接头处理规范，做好绝缘防护，确保传输稳定。</w:t>
      </w:r>
    </w:p>
    <w:p w14:paraId="77A69DD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lang w:val="en-US" w:eastAsia="zh-CN"/>
        </w:rPr>
        <w:t>6.</w:t>
      </w:r>
      <w:r>
        <w:rPr>
          <w:rFonts w:hint="eastAsia" w:cs="宋体" w:asciiTheme="minorEastAsia" w:hAnsiTheme="minorEastAsia" w:eastAsiaTheme="minorEastAsia"/>
          <w:bCs/>
          <w:color w:val="auto"/>
          <w:kern w:val="0"/>
          <w:sz w:val="28"/>
          <w:szCs w:val="28"/>
        </w:rPr>
        <w:t>系统调试要求：安装完成后，需对整套系统进行全面调试，包括设备通电测试、音频信号传输测试、分区广播控制测试、应急广播功能测试、时间同步功能校准等，确保各项功能满足项目需求，音质清晰无杂音、无失真，系统运行稳定。</w:t>
      </w:r>
    </w:p>
    <w:p w14:paraId="5C9031B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Cs/>
          <w:color w:val="auto"/>
          <w:kern w:val="0"/>
          <w:sz w:val="28"/>
          <w:szCs w:val="28"/>
          <w:lang w:val="en-US" w:eastAsia="zh-CN"/>
        </w:rPr>
        <w:t>7.</w:t>
      </w:r>
      <w:r>
        <w:rPr>
          <w:rFonts w:hint="eastAsia" w:cs="宋体" w:asciiTheme="minorEastAsia" w:hAnsiTheme="minorEastAsia" w:eastAsiaTheme="minorEastAsia"/>
          <w:bCs/>
          <w:color w:val="auto"/>
          <w:kern w:val="0"/>
          <w:sz w:val="28"/>
          <w:szCs w:val="28"/>
        </w:rPr>
        <w:t>施工安全与现场管理：严格遵守采购人校园管理规定，施工期间设置安全警示标识，采取有效防护措施，避免损坏校园原有设施；施工人员需持证上岗，规范操作，杜绝安全事故；施工结束后及时清理现场，做到工完场清。</w:t>
      </w:r>
    </w:p>
    <w:p w14:paraId="30A7196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w:t>
      </w:r>
      <w:r>
        <w:rPr>
          <w:rFonts w:hint="eastAsia" w:cs="宋体" w:asciiTheme="minorEastAsia" w:hAnsiTheme="minorEastAsia" w:eastAsiaTheme="minorEastAsia"/>
          <w:bCs/>
          <w:color w:val="auto"/>
          <w:kern w:val="0"/>
          <w:sz w:val="28"/>
          <w:szCs w:val="28"/>
          <w:lang w:val="en-US" w:eastAsia="zh-CN"/>
        </w:rPr>
        <w:t>三</w:t>
      </w:r>
      <w:r>
        <w:rPr>
          <w:rFonts w:hint="eastAsia" w:cs="宋体" w:asciiTheme="minorEastAsia" w:hAnsiTheme="minorEastAsia" w:eastAsiaTheme="minorEastAsia"/>
          <w:bCs/>
          <w:color w:val="auto"/>
          <w:kern w:val="0"/>
          <w:sz w:val="28"/>
          <w:szCs w:val="28"/>
        </w:rPr>
        <w:t>）采购项目商务要求</w:t>
      </w:r>
    </w:p>
    <w:p w14:paraId="0E5A3D3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1.本次采购产品为非进口产品（进口产品指通过中国海关报关验放进入中国境内且产自关境外的产品</w:t>
      </w:r>
      <w:r>
        <w:rPr>
          <w:rFonts w:cs="宋体" w:asciiTheme="minorEastAsia" w:hAnsiTheme="minorEastAsia" w:eastAsiaTheme="minorEastAsia"/>
          <w:bCs/>
          <w:color w:val="auto"/>
          <w:kern w:val="0"/>
          <w:sz w:val="28"/>
          <w:szCs w:val="28"/>
        </w:rPr>
        <w:t>)。</w:t>
      </w:r>
    </w:p>
    <w:p w14:paraId="6AB81D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2.货物为原厂商(制造商)未启封全新包装，具出厂合格证，序列号、包装箱号与出厂批号一致，并可追索查阅。所有随设备的附件必须齐全。</w:t>
      </w:r>
      <w:r>
        <w:rPr>
          <w:rFonts w:hint="eastAsia" w:cs="宋体" w:asciiTheme="minorEastAsia" w:hAnsiTheme="minorEastAsia" w:eastAsiaTheme="minorEastAsia"/>
          <w:bCs/>
          <w:color w:val="auto"/>
          <w:kern w:val="0"/>
          <w:sz w:val="28"/>
          <w:szCs w:val="28"/>
          <w:lang w:val="en-US" w:eastAsia="zh-CN"/>
        </w:rPr>
        <w:t>项目建设完成后供应商</w:t>
      </w:r>
      <w:r>
        <w:rPr>
          <w:rFonts w:cs="宋体" w:asciiTheme="minorEastAsia" w:hAnsiTheme="minorEastAsia" w:eastAsiaTheme="minorEastAsia"/>
          <w:bCs/>
          <w:color w:val="auto"/>
          <w:kern w:val="0"/>
          <w:sz w:val="28"/>
          <w:szCs w:val="28"/>
        </w:rPr>
        <w:t>应将关键主机设备的用户手册、保修手册、有关单证资料及配备件交付给</w:t>
      </w:r>
      <w:r>
        <w:rPr>
          <w:rFonts w:hint="eastAsia" w:cs="宋体" w:asciiTheme="minorEastAsia" w:hAnsiTheme="minorEastAsia" w:eastAsiaTheme="minorEastAsia"/>
          <w:bCs/>
          <w:color w:val="auto"/>
          <w:kern w:val="0"/>
          <w:sz w:val="28"/>
          <w:szCs w:val="28"/>
          <w:lang w:val="en-US" w:eastAsia="zh-CN"/>
        </w:rPr>
        <w:t>采购人</w:t>
      </w:r>
      <w:r>
        <w:rPr>
          <w:rFonts w:cs="宋体" w:asciiTheme="minorEastAsia" w:hAnsiTheme="minorEastAsia" w:eastAsiaTheme="minorEastAsia"/>
          <w:bCs/>
          <w:color w:val="auto"/>
          <w:kern w:val="0"/>
          <w:sz w:val="28"/>
          <w:szCs w:val="28"/>
        </w:rPr>
        <w:t>，使用操作及安全须知等重要资料应附有中文说明。</w:t>
      </w:r>
    </w:p>
    <w:p w14:paraId="5159BB9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宋体" w:asciiTheme="minorEastAsia" w:hAnsiTheme="minorEastAsia" w:eastAsiaTheme="minorEastAsia"/>
          <w:bCs/>
          <w:color w:val="auto"/>
          <w:kern w:val="0"/>
          <w:sz w:val="28"/>
          <w:szCs w:val="28"/>
          <w:lang w:eastAsia="zh-CN"/>
        </w:rPr>
      </w:pPr>
      <w:r>
        <w:rPr>
          <w:rFonts w:cs="宋体" w:asciiTheme="minorEastAsia" w:hAnsiTheme="minorEastAsia" w:eastAsiaTheme="minorEastAsia"/>
          <w:bCs/>
          <w:color w:val="auto"/>
          <w:kern w:val="0"/>
          <w:sz w:val="28"/>
          <w:szCs w:val="28"/>
        </w:rPr>
        <w:t>3.</w:t>
      </w:r>
      <w:r>
        <w:rPr>
          <w:rFonts w:hint="eastAsia" w:cs="宋体" w:asciiTheme="minorEastAsia" w:hAnsiTheme="minorEastAsia" w:eastAsiaTheme="minorEastAsia"/>
          <w:bCs/>
          <w:color w:val="auto"/>
          <w:kern w:val="0"/>
          <w:sz w:val="28"/>
          <w:szCs w:val="28"/>
        </w:rPr>
        <w:t>投标人在投标文件中提供对应项目需求中“货物详细设备要求及技术参数”标注▲的技术指标</w:t>
      </w:r>
      <w:r>
        <w:rPr>
          <w:rFonts w:hint="eastAsia" w:cs="宋体" w:asciiTheme="minorEastAsia" w:hAnsiTheme="minorEastAsia" w:eastAsiaTheme="minorEastAsia"/>
          <w:bCs/>
          <w:color w:val="auto"/>
          <w:kern w:val="0"/>
          <w:sz w:val="28"/>
          <w:szCs w:val="28"/>
          <w:lang w:val="en-US" w:eastAsia="zh-CN"/>
        </w:rPr>
        <w:t>需提供相应技术证明文件</w:t>
      </w:r>
      <w:r>
        <w:rPr>
          <w:rFonts w:hint="eastAsia" w:cs="宋体" w:asciiTheme="minorEastAsia" w:hAnsiTheme="minorEastAsia" w:eastAsiaTheme="minorEastAsia"/>
          <w:bCs/>
          <w:color w:val="auto"/>
          <w:kern w:val="0"/>
          <w:sz w:val="28"/>
          <w:szCs w:val="28"/>
          <w:lang w:eastAsia="zh-CN"/>
        </w:rPr>
        <w:t>。</w:t>
      </w:r>
    </w:p>
    <w:p w14:paraId="71F77F2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4.投标人所提供的品牌产品必须是具有生产许可证和产品合格证的产品。</w:t>
      </w:r>
    </w:p>
    <w:p w14:paraId="648177F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5.</w:t>
      </w:r>
      <w:r>
        <w:rPr>
          <w:rFonts w:hint="eastAsia" w:cs="宋体" w:asciiTheme="minorEastAsia" w:hAnsiTheme="minorEastAsia" w:eastAsiaTheme="minorEastAsia"/>
          <w:bCs/>
          <w:color w:val="auto"/>
          <w:kern w:val="0"/>
          <w:sz w:val="28"/>
          <w:szCs w:val="28"/>
        </w:rPr>
        <w:t>对于影响货物正常工作的必要组成部分，无论在技术规范中指出与否，投标人都应提供并在投标文件中明确列出。</w:t>
      </w:r>
    </w:p>
    <w:p w14:paraId="516705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6.</w:t>
      </w:r>
      <w:r>
        <w:rPr>
          <w:rFonts w:hint="eastAsia" w:cs="宋体" w:asciiTheme="minorEastAsia" w:hAnsiTheme="minorEastAsia" w:eastAsiaTheme="minorEastAsia"/>
          <w:bCs/>
          <w:color w:val="auto"/>
          <w:kern w:val="0"/>
          <w:sz w:val="28"/>
          <w:szCs w:val="28"/>
        </w:rPr>
        <w:t>投标人所提供的货物及辅助装置的使用指示、铭牌、警告指示应以中文或英文及易懂的通用符号来表示，能够准确无误地表示设备的型号、规格和制造商。</w:t>
      </w:r>
    </w:p>
    <w:p w14:paraId="519D471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7.</w:t>
      </w:r>
      <w:r>
        <w:rPr>
          <w:rFonts w:hint="eastAsia" w:cs="宋体" w:asciiTheme="minorEastAsia" w:hAnsiTheme="minorEastAsia" w:eastAsiaTheme="minorEastAsia"/>
          <w:bCs/>
          <w:color w:val="auto"/>
          <w:kern w:val="0"/>
          <w:sz w:val="28"/>
          <w:szCs w:val="28"/>
        </w:rPr>
        <w:t>中标供应商在实际供货时，若被发现提供的货物未能达到投标文件中的有关要求，将视为中标供应商违约，并依法解除合同，并追究中标供应商的责任。</w:t>
      </w:r>
    </w:p>
    <w:p w14:paraId="207AE72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8.</w:t>
      </w:r>
      <w:r>
        <w:rPr>
          <w:rFonts w:hint="eastAsia" w:cs="宋体" w:asciiTheme="minorEastAsia" w:hAnsiTheme="minorEastAsia" w:eastAsiaTheme="minorEastAsia"/>
          <w:bCs/>
          <w:color w:val="auto"/>
          <w:kern w:val="0"/>
          <w:sz w:val="28"/>
          <w:szCs w:val="28"/>
        </w:rPr>
        <w:t>由中标供应商负责按国家相关标准进行货物包装，货物的包装均应有良好的防湿、防锈、防潮、防雨、防腐及防碰撞的措施，并适宜本地区的气候条件。凡由于包装不良造成的损失和由此产生的费用均由中标供应商承担。</w:t>
      </w:r>
    </w:p>
    <w:p w14:paraId="2CC4AC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9.</w:t>
      </w:r>
      <w:r>
        <w:rPr>
          <w:rFonts w:hint="eastAsia" w:cs="宋体" w:asciiTheme="minorEastAsia" w:hAnsiTheme="minorEastAsia" w:eastAsiaTheme="minorEastAsia"/>
          <w:bCs/>
          <w:color w:val="auto"/>
          <w:kern w:val="0"/>
          <w:sz w:val="28"/>
          <w:szCs w:val="28"/>
        </w:rPr>
        <w:t>投标人所投报的设备（或产品）和服务必须成套和完整，在技术要求中未列明但属于产品运行（或使用）的所需附件必须一并投报。如果在安装和运行（或使用）过程中发现有缺项漏项，且又是正常运行（或使用）所必要的，投标人应当主动提供（该价格包含在投标报价中）。</w:t>
      </w:r>
    </w:p>
    <w:p w14:paraId="361FC5E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10.</w:t>
      </w:r>
      <w:r>
        <w:rPr>
          <w:rFonts w:hint="eastAsia" w:cs="宋体" w:asciiTheme="minorEastAsia" w:hAnsiTheme="minorEastAsia" w:eastAsiaTheme="minorEastAsia"/>
          <w:bCs/>
          <w:color w:val="auto"/>
          <w:kern w:val="0"/>
          <w:sz w:val="28"/>
          <w:szCs w:val="28"/>
        </w:rPr>
        <w:t>本采购项目投标人必须对项目内所有内容进行投标，不允许对包组内部分内容选择性投标，报价方式为总价包干形式，最终只选取一家中标供应商。</w:t>
      </w:r>
    </w:p>
    <w:p w14:paraId="018F08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11.</w:t>
      </w:r>
      <w:r>
        <w:rPr>
          <w:rFonts w:hint="eastAsia" w:cs="宋体" w:asciiTheme="minorEastAsia" w:hAnsiTheme="minorEastAsia" w:eastAsiaTheme="minorEastAsia"/>
          <w:bCs/>
          <w:color w:val="auto"/>
          <w:kern w:val="0"/>
          <w:sz w:val="28"/>
          <w:szCs w:val="28"/>
        </w:rPr>
        <w:t>本项目货物款式、颜色、尺寸仅供参考，投标人要到采购人现场重新进行精准测量，在得到采购人对款式、颜色、尺寸及数量予以确认后，方可生产。</w:t>
      </w:r>
    </w:p>
    <w:p w14:paraId="5218A8B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12.</w:t>
      </w:r>
      <w:r>
        <w:rPr>
          <w:rFonts w:hint="eastAsia" w:cs="宋体" w:asciiTheme="minorEastAsia" w:hAnsiTheme="minorEastAsia" w:eastAsiaTheme="minorEastAsia"/>
          <w:bCs/>
          <w:color w:val="auto"/>
          <w:kern w:val="0"/>
          <w:sz w:val="28"/>
          <w:szCs w:val="28"/>
        </w:rPr>
        <w:t>投标人近年来具有同类项目成功案例经验的，应在投标文件中提供证明材料</w:t>
      </w:r>
      <w:r>
        <w:rPr>
          <w:rFonts w:cs="宋体" w:asciiTheme="minorEastAsia" w:hAnsiTheme="minorEastAsia" w:eastAsiaTheme="minorEastAsia"/>
          <w:bCs/>
          <w:color w:val="auto"/>
          <w:kern w:val="0"/>
          <w:sz w:val="28"/>
          <w:szCs w:val="28"/>
        </w:rPr>
        <w:t>(提供加盖单位公章的中标/成交通知书或合同的复印件)。</w:t>
      </w:r>
    </w:p>
    <w:p w14:paraId="6CAF734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13.</w:t>
      </w:r>
      <w:r>
        <w:rPr>
          <w:rFonts w:hint="eastAsia" w:cs="宋体" w:asciiTheme="minorEastAsia" w:hAnsiTheme="minorEastAsia" w:eastAsiaTheme="minorEastAsia"/>
          <w:bCs/>
          <w:color w:val="auto"/>
          <w:kern w:val="0"/>
          <w:sz w:val="28"/>
          <w:szCs w:val="28"/>
        </w:rPr>
        <w:t>安全责任：本项目安全措施由中标供应商制定方案及组织实施，并承担全部安全责任，采购人不负责任何伤亡、劳保福利以及施工中材料被盗等责任。</w:t>
      </w:r>
    </w:p>
    <w:p w14:paraId="6C5018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14.</w:t>
      </w:r>
      <w:r>
        <w:rPr>
          <w:rFonts w:hint="eastAsia" w:cs="宋体" w:asciiTheme="minorEastAsia" w:hAnsiTheme="minorEastAsia" w:eastAsiaTheme="minorEastAsia"/>
          <w:bCs/>
          <w:color w:val="auto"/>
          <w:kern w:val="0"/>
          <w:sz w:val="28"/>
          <w:szCs w:val="28"/>
        </w:rPr>
        <w:t>消防责任：本项目消防措施由中标供应商制定方案及组织实施，严格按照消防法的规定进行操作，需用的水电由采购人协助提供，需用电源必须由采购人派有资质的电工按规范拉接，不允许中标供应商的施工人员乱拉乱接。凡在施工期间出现的火灾事故应由中标供应商负责，所造成的经济损失由中标供应商负责所有赔偿。</w:t>
      </w:r>
    </w:p>
    <w:p w14:paraId="318806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15.</w:t>
      </w:r>
      <w:r>
        <w:rPr>
          <w:rFonts w:hint="eastAsia" w:cs="宋体" w:asciiTheme="minorEastAsia" w:hAnsiTheme="minorEastAsia" w:eastAsiaTheme="minorEastAsia"/>
          <w:bCs/>
          <w:color w:val="auto"/>
          <w:kern w:val="0"/>
          <w:sz w:val="28"/>
          <w:szCs w:val="28"/>
        </w:rPr>
        <w:t>为保障维修整改项目的维修整改质量，本项目应由中标供应商自行实施。</w:t>
      </w:r>
    </w:p>
    <w:p w14:paraId="6138353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16.</w:t>
      </w:r>
      <w:r>
        <w:rPr>
          <w:rFonts w:hint="eastAsia" w:cs="宋体" w:asciiTheme="minorEastAsia" w:hAnsiTheme="minorEastAsia" w:eastAsiaTheme="minorEastAsia"/>
          <w:bCs/>
          <w:color w:val="auto"/>
          <w:kern w:val="0"/>
          <w:sz w:val="28"/>
          <w:szCs w:val="28"/>
        </w:rPr>
        <w:t>在货物运输、安装、验收过程的如果发生安全事故的，安全责任全部由投标人负责，采购人不承担任何责任。</w:t>
      </w:r>
    </w:p>
    <w:p w14:paraId="492A843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1</w:t>
      </w:r>
      <w:r>
        <w:rPr>
          <w:rFonts w:hint="eastAsia" w:cs="宋体" w:asciiTheme="minorEastAsia" w:hAnsiTheme="minorEastAsia" w:eastAsiaTheme="minorEastAsia"/>
          <w:bCs/>
          <w:color w:val="auto"/>
          <w:kern w:val="0"/>
          <w:sz w:val="28"/>
          <w:szCs w:val="28"/>
          <w:lang w:val="en-US" w:eastAsia="zh-CN"/>
        </w:rPr>
        <w:t>7</w:t>
      </w:r>
      <w:r>
        <w:rPr>
          <w:rFonts w:cs="宋体" w:asciiTheme="minorEastAsia" w:hAnsiTheme="minorEastAsia" w:eastAsiaTheme="minorEastAsia"/>
          <w:bCs/>
          <w:color w:val="auto"/>
          <w:kern w:val="0"/>
          <w:sz w:val="28"/>
          <w:szCs w:val="28"/>
        </w:rPr>
        <w:t>.</w:t>
      </w:r>
      <w:r>
        <w:rPr>
          <w:rFonts w:hint="eastAsia" w:cs="宋体" w:asciiTheme="minorEastAsia" w:hAnsiTheme="minorEastAsia" w:eastAsiaTheme="minorEastAsia"/>
          <w:bCs/>
          <w:color w:val="auto"/>
          <w:kern w:val="0"/>
          <w:sz w:val="28"/>
          <w:szCs w:val="28"/>
        </w:rPr>
        <w:t>货物必须承诺提供至少</w:t>
      </w:r>
      <w:r>
        <w:rPr>
          <w:rFonts w:hint="eastAsia" w:cs="宋体" w:asciiTheme="minorEastAsia" w:hAnsiTheme="minorEastAsia" w:eastAsiaTheme="minorEastAsia"/>
          <w:bCs/>
          <w:color w:val="auto"/>
          <w:kern w:val="0"/>
          <w:sz w:val="28"/>
          <w:szCs w:val="28"/>
          <w:lang w:val="en-US" w:eastAsia="zh-CN"/>
        </w:rPr>
        <w:t>1</w:t>
      </w:r>
      <w:r>
        <w:rPr>
          <w:rFonts w:cs="宋体" w:asciiTheme="minorEastAsia" w:hAnsiTheme="minorEastAsia" w:eastAsiaTheme="minorEastAsia"/>
          <w:bCs/>
          <w:color w:val="auto"/>
          <w:kern w:val="0"/>
          <w:sz w:val="28"/>
          <w:szCs w:val="28"/>
        </w:rPr>
        <w:t>年以上的保修期，在保修期内非人为损坏而更换零部件产生的费用包含在投标报价中。投标人应在投标文件中提供《承诺函》，承诺函格式自拟。</w:t>
      </w:r>
    </w:p>
    <w:p w14:paraId="2B0C56B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1</w:t>
      </w:r>
      <w:r>
        <w:rPr>
          <w:rFonts w:hint="eastAsia" w:cs="宋体" w:asciiTheme="minorEastAsia" w:hAnsiTheme="minorEastAsia" w:eastAsiaTheme="minorEastAsia"/>
          <w:bCs/>
          <w:color w:val="auto"/>
          <w:kern w:val="0"/>
          <w:sz w:val="28"/>
          <w:szCs w:val="28"/>
          <w:lang w:val="en-US" w:eastAsia="zh-CN"/>
        </w:rPr>
        <w:t>8</w:t>
      </w:r>
      <w:r>
        <w:rPr>
          <w:rFonts w:cs="宋体" w:asciiTheme="minorEastAsia" w:hAnsiTheme="minorEastAsia" w:eastAsiaTheme="minorEastAsia"/>
          <w:bCs/>
          <w:color w:val="auto"/>
          <w:kern w:val="0"/>
          <w:sz w:val="28"/>
          <w:szCs w:val="28"/>
        </w:rPr>
        <w:t>.</w:t>
      </w:r>
      <w:r>
        <w:rPr>
          <w:rFonts w:hint="eastAsia" w:cs="宋体" w:asciiTheme="minorEastAsia" w:hAnsiTheme="minorEastAsia" w:eastAsiaTheme="minorEastAsia"/>
          <w:bCs/>
          <w:color w:val="auto"/>
          <w:kern w:val="0"/>
          <w:sz w:val="28"/>
          <w:szCs w:val="28"/>
        </w:rPr>
        <w:t>交货地点：江门市技师学院潮连校区（江门市潮连环岛西路22号</w:t>
      </w:r>
      <w:r>
        <w:rPr>
          <w:rFonts w:cs="宋体" w:asciiTheme="minorEastAsia" w:hAnsiTheme="minorEastAsia" w:eastAsiaTheme="minorEastAsia"/>
          <w:bCs/>
          <w:color w:val="auto"/>
          <w:kern w:val="0"/>
          <w:sz w:val="28"/>
          <w:szCs w:val="28"/>
        </w:rPr>
        <w:t>）</w:t>
      </w:r>
      <w:r>
        <w:rPr>
          <w:rFonts w:hint="eastAsia" w:cs="宋体" w:asciiTheme="minorEastAsia" w:hAnsiTheme="minorEastAsia" w:eastAsiaTheme="minorEastAsia"/>
          <w:bCs/>
          <w:color w:val="auto"/>
          <w:kern w:val="0"/>
          <w:sz w:val="28"/>
          <w:szCs w:val="28"/>
        </w:rPr>
        <w:t>。</w:t>
      </w:r>
    </w:p>
    <w:p w14:paraId="2EC649D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cs="宋体" w:asciiTheme="minorEastAsia" w:hAnsiTheme="minorEastAsia" w:eastAsiaTheme="minorEastAsia"/>
          <w:bCs/>
          <w:color w:val="auto"/>
          <w:kern w:val="0"/>
          <w:sz w:val="28"/>
          <w:szCs w:val="28"/>
          <w:lang w:val="en-US" w:eastAsia="zh-CN"/>
        </w:rPr>
      </w:pPr>
      <w:r>
        <w:rPr>
          <w:rFonts w:hint="eastAsia" w:cs="宋体" w:asciiTheme="minorEastAsia" w:hAnsiTheme="minorEastAsia" w:eastAsiaTheme="minorEastAsia"/>
          <w:bCs/>
          <w:color w:val="auto"/>
          <w:kern w:val="0"/>
          <w:sz w:val="28"/>
          <w:szCs w:val="28"/>
          <w:lang w:val="en-US" w:eastAsia="zh-CN"/>
        </w:rPr>
        <w:t>19.培训：在中标供应商成功完成项目建设任务之后，需组织对采购人的相关业务人员进行详细的培训工作。培训过程应当涵盖项目建设的所有关键方面，确保业务人员能够充分理解和掌握项目的操作流程、技术细节以及维护要求。培训内容应包括但不限于系统的使用方法、故障排除技巧以及日常维护知识。</w:t>
      </w:r>
    </w:p>
    <w:p w14:paraId="16AF083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2</w:t>
      </w:r>
      <w:r>
        <w:rPr>
          <w:rFonts w:hint="eastAsia" w:cs="宋体" w:asciiTheme="minorEastAsia" w:hAnsiTheme="minorEastAsia" w:eastAsiaTheme="minorEastAsia"/>
          <w:bCs/>
          <w:color w:val="auto"/>
          <w:kern w:val="0"/>
          <w:sz w:val="28"/>
          <w:szCs w:val="28"/>
          <w:lang w:val="en-US" w:eastAsia="zh-CN"/>
        </w:rPr>
        <w:t>0</w:t>
      </w:r>
      <w:r>
        <w:rPr>
          <w:rFonts w:cs="宋体" w:asciiTheme="minorEastAsia" w:hAnsiTheme="minorEastAsia" w:eastAsiaTheme="minorEastAsia"/>
          <w:bCs/>
          <w:color w:val="auto"/>
          <w:kern w:val="0"/>
          <w:sz w:val="28"/>
          <w:szCs w:val="28"/>
        </w:rPr>
        <w:t>.</w:t>
      </w:r>
      <w:r>
        <w:rPr>
          <w:rFonts w:hint="eastAsia" w:cs="宋体" w:asciiTheme="minorEastAsia" w:hAnsiTheme="minorEastAsia" w:eastAsiaTheme="minorEastAsia"/>
          <w:bCs/>
          <w:color w:val="auto"/>
          <w:kern w:val="0"/>
          <w:sz w:val="28"/>
          <w:szCs w:val="28"/>
        </w:rPr>
        <w:t>验收要求：</w:t>
      </w:r>
    </w:p>
    <w:p w14:paraId="3AEBF05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①符合国家有关法律法规相关规定和标准；</w:t>
      </w:r>
    </w:p>
    <w:p w14:paraId="614F42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②符合招标文件要求和投标文件条款；</w:t>
      </w:r>
    </w:p>
    <w:p w14:paraId="47D0CED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③单证齐全，有产品合格证、质量保证书、发票和其它应具有的单证；</w:t>
      </w:r>
    </w:p>
    <w:p w14:paraId="3304CF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④交货时系统需安装调试后，经测试合格由中标供应商和采购人共同验收。</w:t>
      </w:r>
    </w:p>
    <w:p w14:paraId="794E005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cs="宋体" w:asciiTheme="minorEastAsia" w:hAnsiTheme="minorEastAsia" w:eastAsiaTheme="minorEastAsia"/>
          <w:bCs/>
          <w:color w:val="auto"/>
          <w:kern w:val="0"/>
          <w:sz w:val="28"/>
          <w:szCs w:val="28"/>
        </w:rPr>
        <w:t>2</w:t>
      </w:r>
      <w:r>
        <w:rPr>
          <w:rFonts w:hint="eastAsia" w:cs="宋体" w:asciiTheme="minorEastAsia" w:hAnsiTheme="minorEastAsia" w:eastAsiaTheme="minorEastAsia"/>
          <w:bCs/>
          <w:color w:val="auto"/>
          <w:kern w:val="0"/>
          <w:sz w:val="28"/>
          <w:szCs w:val="28"/>
          <w:lang w:val="en-US" w:eastAsia="zh-CN"/>
        </w:rPr>
        <w:t>1</w:t>
      </w:r>
      <w:r>
        <w:rPr>
          <w:rFonts w:cs="宋体" w:asciiTheme="minorEastAsia" w:hAnsiTheme="minorEastAsia" w:eastAsiaTheme="minorEastAsia"/>
          <w:bCs/>
          <w:color w:val="auto"/>
          <w:kern w:val="0"/>
          <w:sz w:val="28"/>
          <w:szCs w:val="28"/>
        </w:rPr>
        <w:t>.</w:t>
      </w:r>
      <w:r>
        <w:rPr>
          <w:rFonts w:hint="eastAsia" w:cs="宋体" w:asciiTheme="minorEastAsia" w:hAnsiTheme="minorEastAsia" w:eastAsiaTheme="minorEastAsia"/>
          <w:bCs/>
          <w:color w:val="auto"/>
          <w:kern w:val="0"/>
          <w:sz w:val="28"/>
          <w:szCs w:val="28"/>
        </w:rPr>
        <w:t>售后服务要求</w:t>
      </w:r>
    </w:p>
    <w:p w14:paraId="0E87E4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①投标人保证在周一至周六每天</w:t>
      </w:r>
      <w:r>
        <w:rPr>
          <w:rFonts w:cs="宋体" w:asciiTheme="minorEastAsia" w:hAnsiTheme="minorEastAsia" w:eastAsiaTheme="minorEastAsia"/>
          <w:bCs/>
          <w:color w:val="auto"/>
          <w:kern w:val="0"/>
          <w:sz w:val="28"/>
          <w:szCs w:val="28"/>
        </w:rPr>
        <w:t>8:30-17:30时内，投标人提供的货物出现需要维护或维修时，能够按照下列时间完成相应售后服务：30分钟内响应，2小时内派提供售后服务的工作人员到达现场，到场后2小时内完成维护或维修。</w:t>
      </w:r>
    </w:p>
    <w:p w14:paraId="07A907D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②维修时间超过</w:t>
      </w:r>
      <w:r>
        <w:rPr>
          <w:rFonts w:cs="宋体" w:asciiTheme="minorEastAsia" w:hAnsiTheme="minorEastAsia" w:eastAsiaTheme="minorEastAsia"/>
          <w:bCs/>
          <w:color w:val="auto"/>
          <w:kern w:val="0"/>
          <w:sz w:val="28"/>
          <w:szCs w:val="28"/>
        </w:rPr>
        <w:t>8小时的，投标人应提供同等或更优型号的、全新的备用产品以保证采购人正常使用。</w:t>
      </w:r>
    </w:p>
    <w:p w14:paraId="3FBAD8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③投标人所投报的货物必须提供至少</w:t>
      </w:r>
      <w:r>
        <w:rPr>
          <w:rFonts w:hint="eastAsia" w:cs="宋体" w:asciiTheme="minorEastAsia" w:hAnsiTheme="minorEastAsia" w:eastAsiaTheme="minorEastAsia"/>
          <w:bCs/>
          <w:color w:val="auto"/>
          <w:kern w:val="0"/>
          <w:sz w:val="28"/>
          <w:szCs w:val="28"/>
          <w:lang w:val="en-US" w:eastAsia="zh-CN"/>
        </w:rPr>
        <w:t>1</w:t>
      </w:r>
      <w:r>
        <w:rPr>
          <w:rFonts w:cs="宋体" w:asciiTheme="minorEastAsia" w:hAnsiTheme="minorEastAsia" w:eastAsiaTheme="minorEastAsia"/>
          <w:bCs/>
          <w:color w:val="auto"/>
          <w:kern w:val="0"/>
          <w:sz w:val="28"/>
          <w:szCs w:val="28"/>
        </w:rPr>
        <w:t>年以上的保修期，</w:t>
      </w:r>
      <w:r>
        <w:rPr>
          <w:rFonts w:hint="eastAsia" w:cs="宋体" w:asciiTheme="minorEastAsia" w:hAnsiTheme="minorEastAsia" w:eastAsiaTheme="minorEastAsia"/>
          <w:bCs/>
          <w:color w:val="auto"/>
          <w:kern w:val="0"/>
          <w:sz w:val="28"/>
          <w:szCs w:val="28"/>
        </w:rPr>
        <w:t>在保修期内非人为损坏而更换零部件</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Cs/>
          <w:color w:val="auto"/>
          <w:kern w:val="0"/>
          <w:sz w:val="28"/>
          <w:szCs w:val="28"/>
          <w:lang w:val="en-US" w:eastAsia="zh-CN"/>
        </w:rPr>
        <w:t>或系统软件升级等所需</w:t>
      </w:r>
      <w:r>
        <w:rPr>
          <w:rFonts w:hint="eastAsia" w:cs="宋体" w:asciiTheme="minorEastAsia" w:hAnsiTheme="minorEastAsia" w:eastAsiaTheme="minorEastAsia"/>
          <w:bCs/>
          <w:color w:val="auto"/>
          <w:kern w:val="0"/>
          <w:sz w:val="28"/>
          <w:szCs w:val="28"/>
        </w:rPr>
        <w:t>的费用包含在投标报价中。</w:t>
      </w:r>
    </w:p>
    <w:p w14:paraId="1C4D01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2</w:t>
      </w:r>
      <w:r>
        <w:rPr>
          <w:rFonts w:hint="eastAsia" w:cs="宋体" w:asciiTheme="minorEastAsia" w:hAnsiTheme="minorEastAsia" w:eastAsiaTheme="minorEastAsia"/>
          <w:bCs/>
          <w:color w:val="auto"/>
          <w:kern w:val="0"/>
          <w:sz w:val="28"/>
          <w:szCs w:val="28"/>
          <w:lang w:val="en-US" w:eastAsia="zh-CN"/>
        </w:rPr>
        <w:t>2</w:t>
      </w:r>
      <w:r>
        <w:rPr>
          <w:rFonts w:hint="eastAsia" w:cs="宋体" w:asciiTheme="minorEastAsia" w:hAnsiTheme="minorEastAsia" w:eastAsiaTheme="minorEastAsia"/>
          <w:bCs/>
          <w:color w:val="auto"/>
          <w:kern w:val="0"/>
          <w:sz w:val="28"/>
          <w:szCs w:val="28"/>
        </w:rPr>
        <w:t>.中标供应商应负责安装完毕后清理现场。</w:t>
      </w:r>
    </w:p>
    <w:p w14:paraId="1528E70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eastAsiaTheme="minorEastAsia"/>
          <w:bCs/>
          <w:color w:val="auto"/>
          <w:kern w:val="0"/>
          <w:sz w:val="28"/>
          <w:szCs w:val="28"/>
        </w:rPr>
      </w:pPr>
      <w:r>
        <w:rPr>
          <w:rFonts w:hint="eastAsia" w:cs="宋体" w:asciiTheme="minorEastAsia" w:hAnsiTheme="minorEastAsia" w:eastAsiaTheme="minorEastAsia"/>
          <w:bCs/>
          <w:color w:val="auto"/>
          <w:kern w:val="0"/>
          <w:sz w:val="28"/>
          <w:szCs w:val="28"/>
        </w:rPr>
        <w:t>2</w:t>
      </w:r>
      <w:r>
        <w:rPr>
          <w:rFonts w:hint="eastAsia" w:cs="宋体" w:asciiTheme="minorEastAsia" w:hAnsiTheme="minorEastAsia" w:eastAsiaTheme="minorEastAsia"/>
          <w:bCs/>
          <w:color w:val="auto"/>
          <w:kern w:val="0"/>
          <w:sz w:val="28"/>
          <w:szCs w:val="28"/>
          <w:lang w:val="en-US" w:eastAsia="zh-CN"/>
        </w:rPr>
        <w:t>3</w:t>
      </w:r>
      <w:r>
        <w:rPr>
          <w:rFonts w:hint="eastAsia" w:cs="宋体" w:asciiTheme="minorEastAsia" w:hAnsiTheme="minorEastAsia" w:eastAsiaTheme="minorEastAsia"/>
          <w:bCs/>
          <w:color w:val="auto"/>
          <w:kern w:val="0"/>
          <w:sz w:val="28"/>
          <w:szCs w:val="28"/>
        </w:rPr>
        <w:t>.中标供应商所提供的设备、材料需经采购人和使用单位验收，如发现有任何质量问题(例如与要求不符、外观损伤等)，中标供应商必须立即以同等型号的设备在采购人和使用单位规定的时间内无偿更换，确保质量。</w:t>
      </w:r>
    </w:p>
    <w:p w14:paraId="51DBA4B3">
      <w:pPr>
        <w:spacing w:line="360" w:lineRule="auto"/>
        <w:ind w:firstLine="560" w:firstLineChars="200"/>
        <w:rPr>
          <w:rFonts w:ascii="宋体" w:hAnsi="宋体" w:eastAsia="宋体"/>
          <w:color w:val="auto"/>
          <w:sz w:val="28"/>
          <w:szCs w:val="28"/>
        </w:rPr>
      </w:pPr>
      <w:r>
        <w:rPr>
          <w:rFonts w:hint="eastAsia" w:cs="宋体" w:asciiTheme="minorEastAsia" w:hAnsiTheme="minorEastAsia" w:eastAsiaTheme="minorEastAsia"/>
          <w:b w:val="0"/>
          <w:bCs/>
          <w:color w:val="auto"/>
          <w:kern w:val="0"/>
          <w:sz w:val="28"/>
          <w:szCs w:val="28"/>
          <w:lang w:val="en-US" w:eastAsia="zh-CN"/>
        </w:rPr>
        <w:t>十</w:t>
      </w:r>
      <w:r>
        <w:rPr>
          <w:rFonts w:hint="eastAsia" w:cs="宋体" w:asciiTheme="minorEastAsia" w:hAnsiTheme="minorEastAsia" w:eastAsiaTheme="minorEastAsia"/>
          <w:b w:val="0"/>
          <w:bCs/>
          <w:color w:val="auto"/>
          <w:kern w:val="0"/>
          <w:sz w:val="28"/>
          <w:szCs w:val="28"/>
        </w:rPr>
        <w:t>、项目款支付</w:t>
      </w:r>
      <w:r>
        <w:rPr>
          <w:rFonts w:hint="eastAsia" w:cs="宋体" w:asciiTheme="minorEastAsia" w:hAnsiTheme="minorEastAsia" w:eastAsiaTheme="minorEastAsia"/>
          <w:b w:val="0"/>
          <w:bCs/>
          <w:color w:val="auto"/>
          <w:kern w:val="0"/>
          <w:sz w:val="28"/>
          <w:szCs w:val="28"/>
          <w:lang w:eastAsia="zh-CN"/>
        </w:rPr>
        <w:t>：</w:t>
      </w:r>
      <w:r>
        <w:rPr>
          <w:rFonts w:hint="eastAsia" w:ascii="宋体" w:hAnsi="宋体" w:eastAsia="宋体"/>
          <w:color w:val="auto"/>
          <w:sz w:val="28"/>
          <w:szCs w:val="28"/>
        </w:rPr>
        <w:t>完成项目工作并验收合格后，中标</w:t>
      </w:r>
      <w:r>
        <w:rPr>
          <w:rFonts w:hint="eastAsia" w:cs="宋体" w:asciiTheme="minorEastAsia" w:hAnsiTheme="minorEastAsia" w:eastAsiaTheme="minorEastAsia"/>
          <w:bCs/>
          <w:color w:val="auto"/>
          <w:kern w:val="0"/>
          <w:sz w:val="28"/>
          <w:szCs w:val="28"/>
        </w:rPr>
        <w:t>供应商</w:t>
      </w:r>
      <w:r>
        <w:rPr>
          <w:rFonts w:hint="eastAsia" w:ascii="宋体" w:hAnsi="宋体" w:eastAsia="宋体"/>
          <w:color w:val="auto"/>
          <w:sz w:val="28"/>
          <w:szCs w:val="28"/>
        </w:rPr>
        <w:t>在15个工作日内按合同总价的100％开具发票交</w:t>
      </w:r>
      <w:r>
        <w:rPr>
          <w:rFonts w:hint="eastAsia" w:ascii="宋体" w:hAnsi="宋体" w:eastAsia="宋体"/>
          <w:color w:val="auto"/>
          <w:sz w:val="28"/>
          <w:szCs w:val="28"/>
          <w:lang w:val="en-US" w:eastAsia="zh-CN"/>
        </w:rPr>
        <w:t>采购</w:t>
      </w:r>
      <w:r>
        <w:rPr>
          <w:rFonts w:hint="eastAsia" w:ascii="宋体" w:hAnsi="宋体" w:eastAsia="宋体"/>
          <w:color w:val="auto"/>
          <w:sz w:val="28"/>
          <w:szCs w:val="28"/>
        </w:rPr>
        <w:t>方办理支付手续，待采购人资金到位后支付。</w:t>
      </w:r>
    </w:p>
    <w:p w14:paraId="020EB97C">
      <w:pPr>
        <w:spacing w:line="360" w:lineRule="auto"/>
        <w:ind w:firstLine="560" w:firstLineChars="200"/>
        <w:rPr>
          <w:rFonts w:cs="宋体" w:asciiTheme="minorEastAsia" w:hAnsiTheme="minorEastAsia" w:eastAsiaTheme="minorEastAsia"/>
          <w:b w:val="0"/>
          <w:bCs/>
          <w:color w:val="auto"/>
          <w:kern w:val="0"/>
          <w:sz w:val="28"/>
          <w:szCs w:val="28"/>
        </w:rPr>
      </w:pPr>
      <w:r>
        <w:rPr>
          <w:rFonts w:hint="eastAsia" w:cs="宋体" w:asciiTheme="minorEastAsia" w:hAnsiTheme="minorEastAsia" w:eastAsiaTheme="minorEastAsia"/>
          <w:b w:val="0"/>
          <w:bCs/>
          <w:color w:val="auto"/>
          <w:kern w:val="0"/>
          <w:sz w:val="28"/>
          <w:szCs w:val="28"/>
        </w:rPr>
        <w:t>十</w:t>
      </w:r>
      <w:r>
        <w:rPr>
          <w:rFonts w:hint="eastAsia" w:cs="宋体" w:asciiTheme="minorEastAsia" w:hAnsiTheme="minorEastAsia" w:eastAsiaTheme="minorEastAsia"/>
          <w:b w:val="0"/>
          <w:bCs/>
          <w:color w:val="auto"/>
          <w:kern w:val="0"/>
          <w:sz w:val="28"/>
          <w:szCs w:val="28"/>
          <w:lang w:val="en-US" w:eastAsia="zh-CN"/>
        </w:rPr>
        <w:t>一</w:t>
      </w:r>
      <w:r>
        <w:rPr>
          <w:rFonts w:hint="eastAsia" w:cs="宋体" w:asciiTheme="minorEastAsia" w:hAnsiTheme="minorEastAsia" w:eastAsiaTheme="minorEastAsia"/>
          <w:b w:val="0"/>
          <w:bCs/>
          <w:color w:val="auto"/>
          <w:kern w:val="0"/>
          <w:sz w:val="28"/>
          <w:szCs w:val="28"/>
        </w:rPr>
        <w:t>、投标报价及评标方法</w:t>
      </w:r>
    </w:p>
    <w:p w14:paraId="2C42241C">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（1）投标方应依据《项目报价表》（附件4）以及现场勘察结果，认真填写项目报价表以提交投标报价。投标报价不得超出项目预算金额，若报价超出预算，将被视为无效报价。</w:t>
      </w:r>
    </w:p>
    <w:p w14:paraId="3E98CCDD">
      <w:pPr>
        <w:spacing w:line="360" w:lineRule="auto"/>
        <w:ind w:firstLine="560" w:firstLineChars="200"/>
        <w:rPr>
          <w:rFonts w:hint="eastAsia" w:ascii="宋体" w:hAnsi="宋体" w:eastAsia="宋体"/>
          <w:color w:val="auto"/>
          <w:sz w:val="28"/>
          <w:szCs w:val="28"/>
        </w:rPr>
      </w:pPr>
      <w:r>
        <w:rPr>
          <w:rFonts w:hint="eastAsia" w:ascii="宋体" w:hAnsi="宋体" w:eastAsia="宋体"/>
          <w:color w:val="auto"/>
          <w:sz w:val="28"/>
          <w:szCs w:val="28"/>
        </w:rPr>
        <w:t>（2）本项目评标方法采用</w:t>
      </w:r>
      <w:r>
        <w:rPr>
          <w:rFonts w:hint="eastAsia" w:ascii="宋体" w:hAnsi="宋体" w:eastAsia="宋体"/>
          <w:color w:val="auto"/>
          <w:sz w:val="28"/>
          <w:szCs w:val="28"/>
          <w:lang w:val="en-US" w:eastAsia="zh-CN"/>
        </w:rPr>
        <w:t>综合评份法</w:t>
      </w:r>
      <w:r>
        <w:rPr>
          <w:rFonts w:hint="eastAsia" w:ascii="宋体" w:hAnsi="宋体" w:eastAsia="宋体"/>
          <w:color w:val="auto"/>
          <w:sz w:val="28"/>
          <w:szCs w:val="28"/>
        </w:rPr>
        <w:t>。</w:t>
      </w:r>
    </w:p>
    <w:p w14:paraId="62D77168">
      <w:pPr>
        <w:spacing w:line="360" w:lineRule="auto"/>
        <w:ind w:firstLine="560" w:firstLineChars="200"/>
        <w:rPr>
          <w:rFonts w:hint="eastAsia" w:cs="宋体" w:asciiTheme="minorEastAsia" w:hAnsiTheme="minorEastAsia" w:eastAsiaTheme="minorEastAsia"/>
          <w:bCs/>
          <w:color w:val="auto"/>
          <w:kern w:val="0"/>
          <w:sz w:val="28"/>
          <w:szCs w:val="28"/>
        </w:rPr>
      </w:pPr>
    </w:p>
    <w:p w14:paraId="0A6092C1">
      <w:pPr>
        <w:numPr>
          <w:ilvl w:val="0"/>
          <w:numId w:val="1"/>
        </w:numPr>
        <w:jc w:val="center"/>
        <w:rPr>
          <w:rFonts w:hint="eastAsia" w:cs="宋体" w:asciiTheme="minorEastAsia" w:hAnsiTheme="minorEastAsia" w:eastAsiaTheme="minorEastAsia"/>
          <w:b/>
          <w:color w:val="auto"/>
          <w:szCs w:val="30"/>
        </w:rPr>
      </w:pPr>
      <w:r>
        <w:rPr>
          <w:rFonts w:hint="eastAsia" w:cs="宋体" w:asciiTheme="minorEastAsia" w:hAnsiTheme="minorEastAsia" w:eastAsiaTheme="minorEastAsia"/>
          <w:b/>
          <w:color w:val="auto"/>
          <w:szCs w:val="30"/>
        </w:rPr>
        <w:t xml:space="preserve"> 评分标准</w:t>
      </w:r>
    </w:p>
    <w:p w14:paraId="6C4F0632">
      <w:pPr>
        <w:pStyle w:val="8"/>
        <w:spacing w:line="480" w:lineRule="exact"/>
        <w:ind w:firstLine="480" w:firstLineChars="200"/>
        <w:rPr>
          <w:rFonts w:hint="eastAsia" w:cs="宋体" w:asciiTheme="minorEastAsia" w:hAnsiTheme="minorEastAsia" w:eastAsiaTheme="minorEastAsia"/>
          <w:b/>
          <w:color w:val="auto"/>
          <w:szCs w:val="30"/>
        </w:rPr>
      </w:pPr>
      <w:r>
        <w:rPr>
          <w:rFonts w:hint="eastAsia" w:hAnsi="宋体" w:cs="宋体"/>
          <w:color w:val="auto"/>
          <w:sz w:val="24"/>
          <w:szCs w:val="24"/>
        </w:rPr>
        <w:t>本次采用综合评分法，权重分配为：价格部</w:t>
      </w:r>
      <w:r>
        <w:rPr>
          <w:rFonts w:hint="eastAsia" w:hAnsi="宋体" w:cs="宋体"/>
          <w:color w:val="auto"/>
          <w:sz w:val="24"/>
          <w:szCs w:val="24"/>
          <w:lang w:val="en-US" w:eastAsia="zh-CN"/>
        </w:rPr>
        <w:t>分</w:t>
      </w:r>
      <w:r>
        <w:rPr>
          <w:rFonts w:hint="eastAsia" w:hAnsi="宋体" w:cs="宋体"/>
          <w:color w:val="auto"/>
          <w:sz w:val="24"/>
          <w:szCs w:val="24"/>
        </w:rPr>
        <w:t>为</w:t>
      </w:r>
      <w:r>
        <w:rPr>
          <w:rFonts w:hint="eastAsia" w:hAnsi="宋体" w:cs="宋体"/>
          <w:color w:val="auto"/>
          <w:sz w:val="24"/>
          <w:szCs w:val="24"/>
          <w:lang w:val="en-US" w:eastAsia="zh-CN"/>
        </w:rPr>
        <w:t>30</w:t>
      </w:r>
      <w:r>
        <w:rPr>
          <w:rFonts w:hint="eastAsia" w:hAnsi="宋体" w:cs="宋体"/>
          <w:color w:val="auto"/>
          <w:sz w:val="24"/>
          <w:szCs w:val="24"/>
        </w:rPr>
        <w:t>%，</w:t>
      </w:r>
      <w:r>
        <w:rPr>
          <w:rFonts w:hint="eastAsia" w:hAnsi="宋体" w:cs="宋体"/>
          <w:color w:val="auto"/>
          <w:sz w:val="24"/>
          <w:szCs w:val="24"/>
          <w:lang w:val="en-US" w:eastAsia="zh-CN"/>
        </w:rPr>
        <w:t>技术部分</w:t>
      </w:r>
      <w:r>
        <w:rPr>
          <w:rFonts w:hint="eastAsia" w:hAnsi="宋体" w:cs="宋体"/>
          <w:color w:val="auto"/>
          <w:sz w:val="24"/>
          <w:szCs w:val="24"/>
        </w:rPr>
        <w:t>为</w:t>
      </w:r>
      <w:r>
        <w:rPr>
          <w:rFonts w:hint="eastAsia" w:hAnsi="宋体" w:cs="宋体"/>
          <w:color w:val="auto"/>
          <w:sz w:val="24"/>
          <w:szCs w:val="24"/>
          <w:lang w:val="en-US" w:eastAsia="zh-CN"/>
        </w:rPr>
        <w:t>25%，</w:t>
      </w:r>
      <w:r>
        <w:rPr>
          <w:rFonts w:hint="eastAsia" w:hAnsi="宋体" w:cs="宋体"/>
          <w:color w:val="auto"/>
          <w:sz w:val="24"/>
          <w:szCs w:val="24"/>
        </w:rPr>
        <w:t>商务部分为</w:t>
      </w:r>
      <w:r>
        <w:rPr>
          <w:rFonts w:hint="eastAsia" w:hAnsi="宋体" w:cs="宋体"/>
          <w:color w:val="auto"/>
          <w:sz w:val="24"/>
          <w:szCs w:val="24"/>
          <w:lang w:val="en-US" w:eastAsia="zh-CN"/>
        </w:rPr>
        <w:t>45</w:t>
      </w:r>
      <w:r>
        <w:rPr>
          <w:rFonts w:hint="eastAsia" w:hAnsi="宋体" w:cs="宋体"/>
          <w:color w:val="auto"/>
          <w:sz w:val="24"/>
          <w:szCs w:val="24"/>
        </w:rPr>
        <w:t>%</w:t>
      </w:r>
      <w:r>
        <w:rPr>
          <w:rFonts w:hint="eastAsia" w:hAnsi="宋体" w:cs="宋体"/>
          <w:color w:val="auto"/>
          <w:sz w:val="24"/>
          <w:szCs w:val="24"/>
          <w:lang w:eastAsia="zh-CN"/>
        </w:rPr>
        <w:t>，</w:t>
      </w:r>
      <w:r>
        <w:rPr>
          <w:rFonts w:hint="eastAsia" w:hAnsi="宋体" w:cs="宋体"/>
          <w:color w:val="auto"/>
          <w:sz w:val="24"/>
          <w:szCs w:val="24"/>
          <w:lang w:val="en-US" w:eastAsia="zh-CN"/>
        </w:rPr>
        <w:t>合计100%</w:t>
      </w:r>
      <w:r>
        <w:rPr>
          <w:rFonts w:hint="eastAsia" w:hAnsi="宋体" w:cs="宋体"/>
          <w:color w:val="auto"/>
          <w:sz w:val="24"/>
          <w:szCs w:val="24"/>
        </w:rPr>
        <w:t>。</w:t>
      </w:r>
    </w:p>
    <w:tbl>
      <w:tblPr>
        <w:tblStyle w:val="15"/>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96"/>
        <w:gridCol w:w="1108"/>
        <w:gridCol w:w="842"/>
        <w:gridCol w:w="5037"/>
      </w:tblGrid>
      <w:tr w14:paraId="1BB8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blHeader/>
          <w:jc w:val="center"/>
        </w:trPr>
        <w:tc>
          <w:tcPr>
            <w:tcW w:w="706" w:type="dxa"/>
            <w:vAlign w:val="center"/>
          </w:tcPr>
          <w:p w14:paraId="10A37F3F">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96" w:type="dxa"/>
            <w:vAlign w:val="center"/>
          </w:tcPr>
          <w:p w14:paraId="26A21F21">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1108" w:type="dxa"/>
            <w:vAlign w:val="center"/>
          </w:tcPr>
          <w:p w14:paraId="5871CA5B">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842" w:type="dxa"/>
            <w:vAlign w:val="center"/>
          </w:tcPr>
          <w:p w14:paraId="34B58E40">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配分</w:t>
            </w:r>
          </w:p>
        </w:tc>
        <w:tc>
          <w:tcPr>
            <w:tcW w:w="5037" w:type="dxa"/>
            <w:vAlign w:val="center"/>
          </w:tcPr>
          <w:p w14:paraId="3686A2CD">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具体内容要求</w:t>
            </w:r>
          </w:p>
        </w:tc>
      </w:tr>
      <w:tr w14:paraId="05D0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869478E">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96" w:type="dxa"/>
            <w:tcBorders>
              <w:top w:val="single" w:color="auto" w:sz="4" w:space="0"/>
              <w:left w:val="single" w:color="auto" w:sz="4" w:space="0"/>
              <w:bottom w:val="single" w:color="auto" w:sz="4" w:space="0"/>
              <w:right w:val="single" w:color="auto" w:sz="4" w:space="0"/>
            </w:tcBorders>
            <w:vAlign w:val="center"/>
          </w:tcPr>
          <w:p w14:paraId="19E241C7">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价格部分</w:t>
            </w:r>
          </w:p>
        </w:tc>
        <w:tc>
          <w:tcPr>
            <w:tcW w:w="1108" w:type="dxa"/>
            <w:tcBorders>
              <w:top w:val="single" w:color="auto" w:sz="4" w:space="0"/>
              <w:left w:val="single" w:color="auto" w:sz="4" w:space="0"/>
              <w:bottom w:val="single" w:color="auto" w:sz="4" w:space="0"/>
              <w:right w:val="single" w:color="auto" w:sz="4" w:space="0"/>
            </w:tcBorders>
            <w:vAlign w:val="center"/>
          </w:tcPr>
          <w:p w14:paraId="646A2E3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w:t>
            </w:r>
          </w:p>
          <w:p w14:paraId="1EE3A7B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w:t>
            </w:r>
          </w:p>
        </w:tc>
        <w:tc>
          <w:tcPr>
            <w:tcW w:w="842" w:type="dxa"/>
            <w:tcBorders>
              <w:top w:val="single" w:color="auto" w:sz="4" w:space="0"/>
              <w:left w:val="single" w:color="auto" w:sz="4" w:space="0"/>
              <w:bottom w:val="single" w:color="auto" w:sz="4" w:space="0"/>
              <w:right w:val="single" w:color="auto" w:sz="4" w:space="0"/>
            </w:tcBorders>
            <w:vAlign w:val="center"/>
          </w:tcPr>
          <w:p w14:paraId="49BC307D">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0分</w:t>
            </w:r>
          </w:p>
        </w:tc>
        <w:tc>
          <w:tcPr>
            <w:tcW w:w="5037" w:type="dxa"/>
            <w:tcBorders>
              <w:top w:val="single" w:color="auto" w:sz="4" w:space="0"/>
              <w:left w:val="single" w:color="auto" w:sz="4" w:space="0"/>
              <w:bottom w:val="single" w:color="auto" w:sz="4" w:space="0"/>
              <w:right w:val="single" w:color="auto" w:sz="4" w:space="0"/>
            </w:tcBorders>
            <w:vAlign w:val="center"/>
          </w:tcPr>
          <w:p w14:paraId="0E894A78">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价格分计算方法：</w:t>
            </w:r>
          </w:p>
          <w:p w14:paraId="220BEA54">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1.满足招标要求且投标价格最低的投标报价为评标基准价，其价格分为满分；</w:t>
            </w:r>
          </w:p>
          <w:p w14:paraId="2EBC27FC">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2.其他投标单位的价格分统一按照下列公式计算：投标报价得分=(评标基准价／投标报价)×（价格权重</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0%）×100。</w:t>
            </w:r>
          </w:p>
          <w:p w14:paraId="22BC3DC1">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备注：报价超出限价的为无效。</w:t>
            </w:r>
          </w:p>
        </w:tc>
      </w:tr>
      <w:tr w14:paraId="5A0A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B432F69">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96" w:type="dxa"/>
            <w:vMerge w:val="restart"/>
            <w:tcBorders>
              <w:top w:val="single" w:color="auto" w:sz="4" w:space="0"/>
              <w:left w:val="single" w:color="auto" w:sz="4" w:space="0"/>
              <w:right w:val="single" w:color="auto" w:sz="4" w:space="0"/>
            </w:tcBorders>
            <w:vAlign w:val="center"/>
          </w:tcPr>
          <w:p w14:paraId="486AA849">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技术部分</w:t>
            </w:r>
          </w:p>
        </w:tc>
        <w:tc>
          <w:tcPr>
            <w:tcW w:w="1108" w:type="dxa"/>
            <w:tcBorders>
              <w:top w:val="single" w:color="auto" w:sz="4" w:space="0"/>
              <w:left w:val="single" w:color="auto" w:sz="4" w:space="0"/>
              <w:bottom w:val="single" w:color="auto" w:sz="4" w:space="0"/>
              <w:right w:val="single" w:color="auto" w:sz="4" w:space="0"/>
            </w:tcBorders>
            <w:vAlign w:val="center"/>
          </w:tcPr>
          <w:p w14:paraId="154BC26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投标产品或原材料配件检验报告</w:t>
            </w:r>
          </w:p>
        </w:tc>
        <w:tc>
          <w:tcPr>
            <w:tcW w:w="842" w:type="dxa"/>
            <w:tcBorders>
              <w:top w:val="single" w:color="auto" w:sz="4" w:space="0"/>
              <w:left w:val="single" w:color="auto" w:sz="4" w:space="0"/>
              <w:bottom w:val="single" w:color="auto" w:sz="4" w:space="0"/>
              <w:right w:val="single" w:color="auto" w:sz="4" w:space="0"/>
            </w:tcBorders>
            <w:vAlign w:val="center"/>
          </w:tcPr>
          <w:p w14:paraId="781CB9F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5037" w:type="dxa"/>
            <w:tcBorders>
              <w:top w:val="single" w:color="auto" w:sz="4" w:space="0"/>
              <w:left w:val="single" w:color="auto" w:sz="4" w:space="0"/>
              <w:bottom w:val="single" w:color="auto" w:sz="4" w:space="0"/>
              <w:right w:val="single" w:color="auto" w:sz="4" w:space="0"/>
            </w:tcBorders>
          </w:tcPr>
          <w:p w14:paraId="264A2630">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投标人在投标文件中提供对应项目需求中“货物详细设备要求及技术参数”标注▲的技术指标</w:t>
            </w:r>
            <w:r>
              <w:rPr>
                <w:rFonts w:hint="eastAsia" w:ascii="宋体" w:hAnsi="宋体" w:eastAsia="宋体" w:cs="宋体"/>
                <w:color w:val="auto"/>
                <w:sz w:val="24"/>
                <w:szCs w:val="24"/>
                <w:lang w:val="en-US" w:eastAsia="zh-CN"/>
              </w:rPr>
              <w:t>需提供相应技术证明文件</w:t>
            </w:r>
            <w:r>
              <w:rPr>
                <w:rFonts w:hint="eastAsia" w:ascii="宋体" w:hAnsi="宋体" w:eastAsia="宋体" w:cs="宋体"/>
                <w:color w:val="auto"/>
                <w:sz w:val="24"/>
                <w:szCs w:val="24"/>
              </w:rPr>
              <w:t>，并加盖制造厂商公</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rPr>
              <w:t>。</w:t>
            </w:r>
          </w:p>
          <w:p w14:paraId="76019D1C">
            <w:p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标注</w:t>
            </w:r>
            <w:r>
              <w:rPr>
                <w:rFonts w:hint="eastAsia" w:ascii="宋体" w:hAnsi="宋体" w:eastAsia="宋体" w:cs="宋体"/>
                <w:color w:val="auto"/>
                <w:kern w:val="0"/>
                <w:sz w:val="20"/>
                <w:highlight w:val="none"/>
              </w:rPr>
              <w:t>▲</w:t>
            </w:r>
            <w:r>
              <w:rPr>
                <w:rFonts w:hint="eastAsia" w:ascii="宋体" w:hAnsi="宋体" w:eastAsia="宋体" w:cs="宋体"/>
                <w:color w:val="auto"/>
                <w:sz w:val="24"/>
                <w:szCs w:val="24"/>
                <w:highlight w:val="none"/>
              </w:rPr>
              <w:t>的技术指标,每提供一项得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分，不提供或提供的</w:t>
            </w:r>
            <w:r>
              <w:rPr>
                <w:rFonts w:hint="eastAsia" w:ascii="宋体" w:hAnsi="宋体" w:eastAsia="宋体" w:cs="宋体"/>
                <w:color w:val="auto"/>
                <w:sz w:val="24"/>
                <w:szCs w:val="24"/>
                <w:lang w:val="en-US" w:eastAsia="zh-CN"/>
              </w:rPr>
              <w:t>技术证明文件</w:t>
            </w:r>
            <w:r>
              <w:rPr>
                <w:rFonts w:hint="eastAsia" w:ascii="宋体" w:hAnsi="宋体" w:eastAsia="宋体" w:cs="宋体"/>
                <w:color w:val="auto"/>
                <w:sz w:val="24"/>
                <w:szCs w:val="24"/>
                <w:highlight w:val="none"/>
              </w:rPr>
              <w:t>无效的不得分。本项得分不超过</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502B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37F45D">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96" w:type="dxa"/>
            <w:vMerge w:val="continue"/>
            <w:tcBorders>
              <w:left w:val="single" w:color="auto" w:sz="4" w:space="0"/>
              <w:right w:val="single" w:color="auto" w:sz="4" w:space="0"/>
            </w:tcBorders>
            <w:vAlign w:val="center"/>
          </w:tcPr>
          <w:p w14:paraId="0B290906">
            <w:pPr>
              <w:spacing w:line="480" w:lineRule="exact"/>
              <w:jc w:val="center"/>
              <w:rPr>
                <w:rFonts w:hint="eastAsia" w:ascii="宋体" w:hAnsi="宋体" w:eastAsia="宋体" w:cs="宋体"/>
                <w:color w:val="auto"/>
                <w:sz w:val="24"/>
                <w:szCs w:val="24"/>
              </w:rPr>
            </w:pPr>
          </w:p>
        </w:tc>
        <w:tc>
          <w:tcPr>
            <w:tcW w:w="1108" w:type="dxa"/>
            <w:tcBorders>
              <w:top w:val="single" w:color="auto" w:sz="4" w:space="0"/>
              <w:left w:val="single" w:color="auto" w:sz="4" w:space="0"/>
              <w:bottom w:val="single" w:color="auto" w:sz="4" w:space="0"/>
              <w:right w:val="single" w:color="auto" w:sz="4" w:space="0"/>
            </w:tcBorders>
            <w:vAlign w:val="center"/>
          </w:tcPr>
          <w:p w14:paraId="1B58C08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设计</w:t>
            </w:r>
          </w:p>
          <w:p w14:paraId="1269116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方案</w:t>
            </w:r>
          </w:p>
        </w:tc>
        <w:tc>
          <w:tcPr>
            <w:tcW w:w="842" w:type="dxa"/>
            <w:tcBorders>
              <w:top w:val="single" w:color="auto" w:sz="4" w:space="0"/>
              <w:left w:val="single" w:color="auto" w:sz="4" w:space="0"/>
              <w:bottom w:val="single" w:color="auto" w:sz="4" w:space="0"/>
              <w:right w:val="single" w:color="auto" w:sz="4" w:space="0"/>
            </w:tcBorders>
            <w:vAlign w:val="center"/>
          </w:tcPr>
          <w:p w14:paraId="67DC8695">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5037" w:type="dxa"/>
            <w:tcBorders>
              <w:top w:val="single" w:color="auto" w:sz="4" w:space="0"/>
              <w:left w:val="single" w:color="auto" w:sz="4" w:space="0"/>
              <w:bottom w:val="single" w:color="auto" w:sz="4" w:space="0"/>
              <w:right w:val="single" w:color="auto" w:sz="4" w:space="0"/>
            </w:tcBorders>
          </w:tcPr>
          <w:p w14:paraId="0B028039">
            <w:pPr>
              <w:keepNext w:val="0"/>
              <w:keepLines w:val="0"/>
              <w:pageBreakBefore w:val="0"/>
              <w:widowControl/>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投标人根据现场勘察对项目进行设计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提供设计</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图：</w:t>
            </w:r>
          </w:p>
          <w:p w14:paraId="6A439A08">
            <w:pPr>
              <w:keepNext w:val="0"/>
              <w:keepLines w:val="0"/>
              <w:pageBreakBefore w:val="0"/>
              <w:widowControl/>
              <w:numPr>
                <w:ilvl w:val="-1"/>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提供广播设备设计方案图：</w:t>
            </w:r>
          </w:p>
          <w:p w14:paraId="09557B7A">
            <w:pPr>
              <w:keepNext w:val="0"/>
              <w:keepLines w:val="0"/>
              <w:pageBreakBefore w:val="0"/>
              <w:widowControl/>
              <w:numPr>
                <w:ilvl w:val="-1"/>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方案完整详尽，广播设备布局较好，专业性、可行性强，满足或优于项目要求的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p w14:paraId="31C38414">
            <w:pPr>
              <w:keepNext w:val="0"/>
              <w:keepLines w:val="0"/>
              <w:pageBreakBefore w:val="0"/>
              <w:widowControl/>
              <w:numPr>
                <w:ilvl w:val="-1"/>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方案基本完整，广播设备布局合理，专业可行，基本满足项目需求的得6分；</w:t>
            </w:r>
          </w:p>
          <w:p w14:paraId="7E9A753F">
            <w:pPr>
              <w:keepNext w:val="0"/>
              <w:keepLines w:val="0"/>
              <w:pageBreakBefore w:val="0"/>
              <w:widowControl/>
              <w:numPr>
                <w:ilvl w:val="-1"/>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方案不细致，广播设备布局失当，专业性、可行性低，与项目需求响应度低的得3分；</w:t>
            </w:r>
          </w:p>
          <w:p w14:paraId="091075D5">
            <w:pPr>
              <w:keepNext w:val="0"/>
              <w:keepLines w:val="0"/>
              <w:pageBreakBefore w:val="0"/>
              <w:widowControl/>
              <w:numPr>
                <w:ilvl w:val="-1"/>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lang w:val="en-US" w:eastAsia="zh-CN"/>
              </w:rPr>
              <w:t>无提供方案图或完全不能满足项目需求的得0分。</w:t>
            </w:r>
          </w:p>
        </w:tc>
      </w:tr>
      <w:tr w14:paraId="397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5E5BA19">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96" w:type="dxa"/>
            <w:vMerge w:val="restart"/>
            <w:tcBorders>
              <w:top w:val="single" w:color="auto" w:sz="4" w:space="0"/>
              <w:left w:val="single" w:color="auto" w:sz="4" w:space="0"/>
              <w:right w:val="single" w:color="auto" w:sz="4" w:space="0"/>
            </w:tcBorders>
            <w:vAlign w:val="center"/>
          </w:tcPr>
          <w:p w14:paraId="013704FF">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商务部分</w:t>
            </w:r>
          </w:p>
        </w:tc>
        <w:tc>
          <w:tcPr>
            <w:tcW w:w="1108" w:type="dxa"/>
            <w:tcBorders>
              <w:top w:val="single" w:color="auto" w:sz="4" w:space="0"/>
              <w:left w:val="single" w:color="auto" w:sz="4" w:space="0"/>
              <w:bottom w:val="single" w:color="auto" w:sz="4" w:space="0"/>
              <w:right w:val="single" w:color="auto" w:sz="4" w:space="0"/>
            </w:tcBorders>
            <w:vAlign w:val="center"/>
          </w:tcPr>
          <w:p w14:paraId="7C36062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w:t>
            </w:r>
          </w:p>
          <w:p w14:paraId="2B5ABEF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w:t>
            </w:r>
          </w:p>
        </w:tc>
        <w:tc>
          <w:tcPr>
            <w:tcW w:w="842" w:type="dxa"/>
            <w:tcBorders>
              <w:top w:val="single" w:color="auto" w:sz="4" w:space="0"/>
              <w:left w:val="single" w:color="auto" w:sz="4" w:space="0"/>
              <w:bottom w:val="single" w:color="auto" w:sz="4" w:space="0"/>
              <w:right w:val="single" w:color="auto" w:sz="4" w:space="0"/>
            </w:tcBorders>
            <w:vAlign w:val="center"/>
          </w:tcPr>
          <w:p w14:paraId="7BDC9B3B">
            <w:pPr>
              <w:spacing w:before="127"/>
              <w:ind w:left="107"/>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5037" w:type="dxa"/>
            <w:tcBorders>
              <w:top w:val="single" w:color="auto" w:sz="4" w:space="0"/>
              <w:left w:val="single" w:color="auto" w:sz="4" w:space="0"/>
              <w:bottom w:val="single" w:color="auto" w:sz="4" w:space="0"/>
              <w:right w:val="single" w:color="auto" w:sz="4" w:space="0"/>
            </w:tcBorders>
          </w:tcPr>
          <w:p w14:paraId="6EA5A990">
            <w:pPr>
              <w:widowControl/>
              <w:numPr>
                <w:ilvl w:val="0"/>
                <w:numId w:val="0"/>
              </w:num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根据各投标人202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月1日以来(以合同签订日期为准)承担过类似项目的，每项得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分，没有的得0分。本项最高得分为</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分。需提供项目合同关键页(包括但不限于项目名称、合同金额、项目内容、双方盖章、签订日期等)复印件，并加盖投标人单位公章，否则不得分。</w:t>
            </w:r>
          </w:p>
        </w:tc>
      </w:tr>
      <w:tr w14:paraId="4D72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20B58879">
            <w:pPr>
              <w:spacing w:line="4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796" w:type="dxa"/>
            <w:vMerge w:val="continue"/>
            <w:tcBorders>
              <w:left w:val="single" w:color="auto" w:sz="4" w:space="0"/>
              <w:right w:val="single" w:color="auto" w:sz="4" w:space="0"/>
            </w:tcBorders>
            <w:vAlign w:val="center"/>
          </w:tcPr>
          <w:p w14:paraId="3E5B4794">
            <w:pPr>
              <w:spacing w:line="480" w:lineRule="exact"/>
              <w:jc w:val="center"/>
              <w:rPr>
                <w:rFonts w:hint="eastAsia" w:ascii="宋体" w:hAnsi="宋体" w:eastAsia="宋体" w:cs="宋体"/>
                <w:color w:val="auto"/>
                <w:sz w:val="24"/>
                <w:szCs w:val="24"/>
              </w:rPr>
            </w:pPr>
          </w:p>
        </w:tc>
        <w:tc>
          <w:tcPr>
            <w:tcW w:w="1108" w:type="dxa"/>
            <w:tcBorders>
              <w:top w:val="single" w:color="auto" w:sz="4" w:space="0"/>
              <w:left w:val="single" w:color="auto" w:sz="4" w:space="0"/>
              <w:bottom w:val="single" w:color="auto" w:sz="4" w:space="0"/>
              <w:right w:val="single" w:color="auto" w:sz="4" w:space="0"/>
            </w:tcBorders>
            <w:vAlign w:val="center"/>
          </w:tcPr>
          <w:p w14:paraId="421AEE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人员情况与技术力量结构的合理性</w:t>
            </w:r>
          </w:p>
        </w:tc>
        <w:tc>
          <w:tcPr>
            <w:tcW w:w="842" w:type="dxa"/>
            <w:tcBorders>
              <w:top w:val="single" w:color="auto" w:sz="4" w:space="0"/>
              <w:left w:val="single" w:color="auto" w:sz="4" w:space="0"/>
              <w:bottom w:val="single" w:color="auto" w:sz="4" w:space="0"/>
              <w:right w:val="single" w:color="auto" w:sz="4" w:space="0"/>
            </w:tcBorders>
            <w:vAlign w:val="center"/>
          </w:tcPr>
          <w:p w14:paraId="0509AE3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037" w:type="dxa"/>
            <w:tcBorders>
              <w:top w:val="single" w:color="auto" w:sz="4" w:space="0"/>
              <w:left w:val="single" w:color="auto" w:sz="4" w:space="0"/>
              <w:bottom w:val="single" w:color="auto" w:sz="4" w:space="0"/>
              <w:right w:val="single" w:color="auto" w:sz="4" w:space="0"/>
            </w:tcBorders>
            <w:shd w:val="clear" w:color="auto" w:fill="auto"/>
            <w:vAlign w:val="top"/>
          </w:tcPr>
          <w:p w14:paraId="642A57FA">
            <w:pPr>
              <w:widowControl/>
              <w:numPr>
                <w:ilvl w:val="0"/>
                <w:numId w:val="0"/>
              </w:num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拟投入本项目的项目经理1名，满足具有:</w:t>
            </w:r>
          </w:p>
          <w:p w14:paraId="2C81441F">
            <w:pPr>
              <w:widowControl/>
              <w:numPr>
                <w:ilvl w:val="0"/>
                <w:numId w:val="0"/>
              </w:numPr>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中华人民共和国人力资源和社会保障部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工业</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信息化部颁发</w:t>
            </w:r>
            <w:r>
              <w:rPr>
                <w:rFonts w:hint="eastAsia" w:ascii="宋体" w:hAnsi="宋体" w:eastAsia="宋体" w:cs="宋体"/>
                <w:color w:val="auto"/>
                <w:sz w:val="24"/>
                <w:szCs w:val="24"/>
                <w:highlight w:val="none"/>
                <w:lang w:val="en-US" w:eastAsia="zh-CN"/>
              </w:rPr>
              <w:t>的电子技术或电气或信息技术或系统集成类专业助理工程师得5分，中级工程师得10分，高级工程师得15分。（同一人获多种证书不重复计算分数，需提供证书及人员在本单位工作近1个月社保缴费证明复印件加盖供应商公章，否则不得分）</w:t>
            </w:r>
          </w:p>
          <w:p w14:paraId="076DBCDC">
            <w:pPr>
              <w:widowControl/>
              <w:numPr>
                <w:ilvl w:val="0"/>
                <w:numId w:val="0"/>
              </w:numPr>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投入的安装维护服务队伍人员满足具有：</w:t>
            </w:r>
          </w:p>
          <w:p w14:paraId="0D6E3759">
            <w:pPr>
              <w:widowControl/>
              <w:numPr>
                <w:ilvl w:val="0"/>
                <w:numId w:val="0"/>
              </w:numPr>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中级或以上《安全防范系统安装维护员》国家职业技能证书(同时提供技能证书以及证书在国家人力资源和社会保障部技能人才评价证书全国查询网站的查询结果截图并加盖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公章），每提供一项得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bookmarkStart w:id="1" w:name="_GoBack"/>
            <w:bookmarkEnd w:id="1"/>
            <w:r>
              <w:rPr>
                <w:rFonts w:hint="eastAsia" w:ascii="宋体" w:hAnsi="宋体" w:eastAsia="宋体" w:cs="宋体"/>
                <w:color w:val="auto"/>
                <w:sz w:val="24"/>
                <w:szCs w:val="24"/>
                <w:highlight w:val="none"/>
              </w:rPr>
              <w:t>，最高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分。（同一类别证书不重复计分）（需提供证书及人员在本单位工作近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个月社保缴费证明复印件加盖供应商公章，否则不得分）。</w:t>
            </w:r>
          </w:p>
        </w:tc>
      </w:tr>
      <w:tr w14:paraId="2C82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5DE64E99">
            <w:pPr>
              <w:spacing w:line="48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796" w:type="dxa"/>
            <w:vMerge w:val="continue"/>
            <w:tcBorders>
              <w:left w:val="single" w:color="auto" w:sz="4" w:space="0"/>
              <w:bottom w:val="single" w:color="auto" w:sz="4" w:space="0"/>
              <w:right w:val="single" w:color="auto" w:sz="4" w:space="0"/>
            </w:tcBorders>
            <w:vAlign w:val="center"/>
          </w:tcPr>
          <w:p w14:paraId="70C23DBF">
            <w:pPr>
              <w:spacing w:line="480" w:lineRule="exact"/>
              <w:jc w:val="center"/>
              <w:rPr>
                <w:rFonts w:hint="eastAsia" w:ascii="宋体" w:hAnsi="宋体" w:eastAsia="宋体" w:cs="宋体"/>
                <w:color w:val="auto"/>
                <w:sz w:val="24"/>
                <w:szCs w:val="24"/>
              </w:rPr>
            </w:pPr>
          </w:p>
        </w:tc>
        <w:tc>
          <w:tcPr>
            <w:tcW w:w="1108" w:type="dxa"/>
            <w:tcBorders>
              <w:top w:val="single" w:color="auto" w:sz="4" w:space="0"/>
              <w:left w:val="single" w:color="auto" w:sz="4" w:space="0"/>
              <w:bottom w:val="single" w:color="auto" w:sz="4" w:space="0"/>
              <w:right w:val="single" w:color="auto" w:sz="4" w:space="0"/>
            </w:tcBorders>
            <w:vAlign w:val="center"/>
          </w:tcPr>
          <w:p w14:paraId="36864780">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实施</w:t>
            </w:r>
          </w:p>
          <w:p w14:paraId="2C54310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方案</w:t>
            </w:r>
          </w:p>
        </w:tc>
        <w:tc>
          <w:tcPr>
            <w:tcW w:w="842" w:type="dxa"/>
            <w:tcBorders>
              <w:top w:val="single" w:color="auto" w:sz="4" w:space="0"/>
              <w:left w:val="single" w:color="auto" w:sz="4" w:space="0"/>
              <w:bottom w:val="single" w:color="auto" w:sz="4" w:space="0"/>
              <w:right w:val="single" w:color="auto" w:sz="4" w:space="0"/>
            </w:tcBorders>
            <w:vAlign w:val="center"/>
          </w:tcPr>
          <w:p w14:paraId="3CCBA63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5037" w:type="dxa"/>
            <w:tcBorders>
              <w:top w:val="single" w:color="auto" w:sz="4" w:space="0"/>
              <w:left w:val="single" w:color="auto" w:sz="4" w:space="0"/>
              <w:bottom w:val="single" w:color="auto" w:sz="4" w:space="0"/>
              <w:right w:val="single" w:color="auto" w:sz="4" w:space="0"/>
            </w:tcBorders>
            <w:vAlign w:val="center"/>
          </w:tcPr>
          <w:p w14:paraId="1AE10F8B">
            <w:pPr>
              <w:keepNext w:val="0"/>
              <w:keepLines w:val="0"/>
              <w:pageBreakBefore w:val="0"/>
              <w:widowControl/>
              <w:numPr>
                <w:ilvl w:val="0"/>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实施</w:t>
            </w:r>
            <w:r>
              <w:rPr>
                <w:rFonts w:hint="eastAsia" w:ascii="宋体" w:hAnsi="宋体" w:eastAsia="宋体" w:cs="宋体"/>
                <w:color w:val="auto"/>
                <w:sz w:val="24"/>
                <w:szCs w:val="24"/>
              </w:rPr>
              <w:t>方案详细完整，包含对采购项目的实施步骤、时间安排、风险控制等进行详细阐述，并以采购合同的执行和交付为目标，确保实施过程高效且符合法律法规的要求。</w:t>
            </w:r>
          </w:p>
          <w:p w14:paraId="5F49D9B7">
            <w:pPr>
              <w:keepNext w:val="0"/>
              <w:keepLines w:val="0"/>
              <w:pageBreakBefore w:val="0"/>
              <w:widowControl/>
              <w:numPr>
                <w:ilvl w:val="0"/>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实施方案详细、时间安排合理且可行性强，得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54667D71">
            <w:pPr>
              <w:keepNext w:val="0"/>
              <w:keepLines w:val="0"/>
              <w:pageBreakBefore w:val="0"/>
              <w:widowControl/>
              <w:numPr>
                <w:ilvl w:val="0"/>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实施方案详细但时间安排或可行性存在一定问题，得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7DFDF141">
            <w:pPr>
              <w:keepNext w:val="0"/>
              <w:keepLines w:val="0"/>
              <w:pageBreakBefore w:val="0"/>
              <w:widowControl/>
              <w:numPr>
                <w:ilvl w:val="0"/>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实施方案粗略、时间安排可行性差，得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03EC1E04">
            <w:pPr>
              <w:keepNext w:val="0"/>
              <w:keepLines w:val="0"/>
              <w:pageBreakBefore w:val="0"/>
              <w:widowControl/>
              <w:numPr>
                <w:ilvl w:val="0"/>
                <w:numId w:val="0"/>
              </w:numPr>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实施方案不详细、时间安排不合理，得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14:paraId="3BEF7ADB">
            <w:pPr>
              <w:widowControl/>
              <w:numPr>
                <w:ilvl w:val="0"/>
                <w:numId w:val="0"/>
              </w:numPr>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实施方案未能提供得0分。</w:t>
            </w:r>
          </w:p>
        </w:tc>
      </w:tr>
    </w:tbl>
    <w:p w14:paraId="7D88E040">
      <w:pPr>
        <w:pStyle w:val="13"/>
        <w:rPr>
          <w:rFonts w:cs="宋体" w:asciiTheme="minorEastAsia" w:hAnsiTheme="minorEastAsia" w:eastAsiaTheme="minorEastAsia"/>
          <w:color w:val="auto"/>
          <w:sz w:val="36"/>
          <w:szCs w:val="36"/>
        </w:rPr>
      </w:pPr>
    </w:p>
    <w:p w14:paraId="3DB84A5D">
      <w:pPr>
        <w:rPr>
          <w:rFonts w:cs="宋体" w:asciiTheme="minorEastAsia" w:hAnsiTheme="minorEastAsia" w:eastAsiaTheme="minorEastAsia"/>
          <w:color w:val="auto"/>
          <w:sz w:val="36"/>
          <w:szCs w:val="36"/>
        </w:rPr>
      </w:pPr>
    </w:p>
    <w:p w14:paraId="2321DDEF">
      <w:pPr>
        <w:rPr>
          <w:rFonts w:cs="宋体" w:asciiTheme="minorEastAsia" w:hAnsiTheme="minorEastAsia" w:eastAsiaTheme="minorEastAsia"/>
          <w:color w:val="auto"/>
          <w:sz w:val="36"/>
          <w:szCs w:val="36"/>
        </w:rPr>
      </w:pPr>
    </w:p>
    <w:p w14:paraId="29F50532">
      <w:pPr>
        <w:rPr>
          <w:rFonts w:cs="宋体" w:asciiTheme="minorEastAsia" w:hAnsiTheme="minorEastAsia" w:eastAsiaTheme="minorEastAsia"/>
          <w:color w:val="auto"/>
          <w:sz w:val="36"/>
          <w:szCs w:val="36"/>
        </w:rPr>
      </w:pPr>
    </w:p>
    <w:p w14:paraId="75233014">
      <w:pPr>
        <w:rPr>
          <w:rFonts w:cs="宋体" w:asciiTheme="minorEastAsia" w:hAnsiTheme="minorEastAsia" w:eastAsiaTheme="minorEastAsia"/>
          <w:color w:val="auto"/>
          <w:sz w:val="36"/>
          <w:szCs w:val="36"/>
        </w:rPr>
        <w:sectPr>
          <w:pgSz w:w="11906" w:h="16838"/>
          <w:pgMar w:top="1814" w:right="1559" w:bottom="1814" w:left="1587" w:header="851" w:footer="992" w:gutter="0"/>
          <w:cols w:space="425" w:num="1"/>
          <w:docGrid w:type="lines" w:linePitch="408" w:charSpace="0"/>
        </w:sectPr>
      </w:pPr>
    </w:p>
    <w:p w14:paraId="0BE3A2DF">
      <w:pPr>
        <w:pStyle w:val="13"/>
        <w:jc w:val="center"/>
        <w:rPr>
          <w:rFonts w:cs="宋体" w:asciiTheme="minorEastAsia" w:hAnsiTheme="minorEastAsia" w:eastAsiaTheme="minorEastAsia"/>
          <w:color w:val="auto"/>
          <w:sz w:val="36"/>
          <w:szCs w:val="36"/>
        </w:rPr>
      </w:pPr>
      <w:r>
        <w:rPr>
          <w:rFonts w:hint="eastAsia" w:cs="宋体" w:asciiTheme="minorEastAsia" w:hAnsiTheme="minorEastAsia" w:eastAsiaTheme="minorEastAsia"/>
          <w:color w:val="auto"/>
          <w:sz w:val="36"/>
          <w:szCs w:val="36"/>
        </w:rPr>
        <w:t>第三章 响应文件资料组成及相关要求</w:t>
      </w:r>
    </w:p>
    <w:p w14:paraId="7BBBFB19">
      <w:pPr>
        <w:widowControl/>
        <w:spacing w:line="360" w:lineRule="auto"/>
        <w:ind w:firstLine="470" w:firstLineChars="196"/>
        <w:jc w:val="left"/>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1.封面（注明参与投标项目名称、单位、联系人、联系电话、正本或副本等信息）加盖公章，贴在密封袋面和投标文件封面（详见附件1）</w:t>
      </w:r>
    </w:p>
    <w:p w14:paraId="359CE2B4">
      <w:pPr>
        <w:widowControl/>
        <w:spacing w:line="360" w:lineRule="auto"/>
        <w:ind w:firstLine="470" w:firstLineChars="196"/>
        <w:jc w:val="left"/>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2.投标资质证明文件</w:t>
      </w:r>
    </w:p>
    <w:p w14:paraId="35C991AE">
      <w:pPr>
        <w:widowControl/>
        <w:spacing w:line="360" w:lineRule="auto"/>
        <w:ind w:firstLine="470" w:firstLineChars="196"/>
        <w:jc w:val="left"/>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①投标人资格声明函（详见附件2）</w:t>
      </w:r>
    </w:p>
    <w:p w14:paraId="52D90B12">
      <w:pPr>
        <w:widowControl/>
        <w:spacing w:line="360" w:lineRule="auto"/>
        <w:ind w:firstLine="470" w:firstLineChars="196"/>
        <w:jc w:val="left"/>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②无重大违法记录声明函（详见附件3）</w:t>
      </w:r>
    </w:p>
    <w:p w14:paraId="3DFCFFDB">
      <w:pPr>
        <w:widowControl/>
        <w:spacing w:line="360" w:lineRule="auto"/>
        <w:ind w:firstLine="470" w:firstLineChars="196"/>
        <w:jc w:val="left"/>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③有效的营业执照（或事业法人登记证或身份证等相关证明）复印件</w:t>
      </w:r>
    </w:p>
    <w:p w14:paraId="3FFA45C8">
      <w:pPr>
        <w:widowControl/>
        <w:spacing w:line="360" w:lineRule="auto"/>
        <w:ind w:firstLine="470" w:firstLineChars="196"/>
        <w:jc w:val="left"/>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④法定代表人（或经营者）身份证复印件</w:t>
      </w:r>
    </w:p>
    <w:p w14:paraId="7966E4B3">
      <w:pPr>
        <w:widowControl/>
        <w:spacing w:line="360" w:lineRule="auto"/>
        <w:ind w:firstLine="470" w:firstLineChars="196"/>
        <w:jc w:val="left"/>
        <w:rPr>
          <w:rFonts w:hint="eastAsia" w:eastAsia="仿宋_GB2312" w:cs="宋体" w:asciiTheme="minorEastAsia" w:hAnsiTheme="minorEastAsia"/>
          <w:bCs/>
          <w:color w:val="auto"/>
          <w:kern w:val="0"/>
          <w:sz w:val="24"/>
          <w:szCs w:val="24"/>
          <w:lang w:eastAsia="zh-CN"/>
        </w:rPr>
      </w:pPr>
      <w:r>
        <w:rPr>
          <w:rFonts w:hint="eastAsia" w:cs="宋体" w:asciiTheme="minorEastAsia" w:hAnsiTheme="minorEastAsia" w:eastAsiaTheme="minorEastAsia"/>
          <w:bCs/>
          <w:color w:val="auto"/>
          <w:kern w:val="0"/>
          <w:sz w:val="24"/>
          <w:szCs w:val="24"/>
        </w:rPr>
        <w:t>3.项目报价表</w:t>
      </w:r>
      <w:r>
        <w:rPr>
          <w:rFonts w:hint="eastAsia" w:cs="宋体" w:asciiTheme="minorEastAsia" w:hAnsiTheme="minorEastAsia" w:eastAsiaTheme="minorEastAsia"/>
          <w:bCs/>
          <w:color w:val="auto"/>
          <w:kern w:val="0"/>
          <w:sz w:val="24"/>
          <w:szCs w:val="24"/>
          <w:lang w:eastAsia="zh-CN"/>
        </w:rPr>
        <w:t>（</w:t>
      </w:r>
      <w:r>
        <w:rPr>
          <w:rFonts w:hint="eastAsia" w:cs="宋体" w:asciiTheme="minorEastAsia" w:hAnsiTheme="minorEastAsia" w:eastAsiaTheme="minorEastAsia"/>
          <w:bCs/>
          <w:color w:val="auto"/>
          <w:kern w:val="0"/>
          <w:sz w:val="24"/>
          <w:szCs w:val="24"/>
          <w:lang w:val="en-US" w:eastAsia="zh-CN"/>
        </w:rPr>
        <w:t>详见附件4</w:t>
      </w:r>
      <w:r>
        <w:rPr>
          <w:rFonts w:hint="eastAsia" w:cs="宋体" w:asciiTheme="minorEastAsia" w:hAnsiTheme="minorEastAsia" w:eastAsiaTheme="minorEastAsia"/>
          <w:bCs/>
          <w:color w:val="auto"/>
          <w:kern w:val="0"/>
          <w:sz w:val="24"/>
          <w:szCs w:val="24"/>
          <w:lang w:eastAsia="zh-CN"/>
        </w:rPr>
        <w:t>）</w:t>
      </w:r>
    </w:p>
    <w:p w14:paraId="0419B601">
      <w:pPr>
        <w:widowControl/>
        <w:spacing w:line="360" w:lineRule="auto"/>
        <w:ind w:firstLine="470" w:firstLineChars="196"/>
        <w:jc w:val="left"/>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4.检验报告</w:t>
      </w:r>
    </w:p>
    <w:p w14:paraId="2F9FE1D0">
      <w:pPr>
        <w:widowControl/>
        <w:spacing w:line="360" w:lineRule="auto"/>
        <w:ind w:left="0" w:leftChars="0" w:firstLine="480" w:firstLineChars="200"/>
        <w:jc w:val="left"/>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5.设计方案</w:t>
      </w:r>
    </w:p>
    <w:p w14:paraId="3A0CF9FA">
      <w:pPr>
        <w:widowControl/>
        <w:spacing w:line="360" w:lineRule="auto"/>
        <w:ind w:firstLine="470" w:firstLineChars="196"/>
        <w:jc w:val="left"/>
        <w:rPr>
          <w:rFonts w:hint="eastAsia"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6.经营业绩</w:t>
      </w:r>
    </w:p>
    <w:p w14:paraId="7617312C">
      <w:pPr>
        <w:widowControl/>
        <w:spacing w:line="360" w:lineRule="auto"/>
        <w:ind w:firstLine="470" w:firstLineChars="196"/>
        <w:jc w:val="left"/>
        <w:rPr>
          <w:rFonts w:hint="default" w:cs="宋体" w:asciiTheme="minorEastAsia" w:hAnsiTheme="minorEastAsia" w:eastAsiaTheme="minorEastAsia"/>
          <w:bCs/>
          <w:color w:val="auto"/>
          <w:kern w:val="0"/>
          <w:sz w:val="24"/>
          <w:szCs w:val="24"/>
          <w:lang w:val="en-US" w:eastAsia="zh-CN"/>
        </w:rPr>
      </w:pPr>
      <w:r>
        <w:rPr>
          <w:rFonts w:hint="eastAsia" w:cs="宋体" w:asciiTheme="minorEastAsia" w:hAnsiTheme="minorEastAsia" w:eastAsiaTheme="minorEastAsia"/>
          <w:bCs/>
          <w:color w:val="auto"/>
          <w:kern w:val="0"/>
          <w:sz w:val="24"/>
          <w:szCs w:val="24"/>
          <w:lang w:val="en-US" w:eastAsia="zh-CN"/>
        </w:rPr>
        <w:t>7.提供人员证书或职称</w:t>
      </w:r>
    </w:p>
    <w:p w14:paraId="60390CF3">
      <w:pPr>
        <w:widowControl/>
        <w:spacing w:line="360" w:lineRule="auto"/>
        <w:ind w:firstLine="470" w:firstLineChars="196"/>
        <w:jc w:val="left"/>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lang w:val="en-US" w:eastAsia="zh-CN"/>
        </w:rPr>
        <w:t>8</w:t>
      </w:r>
      <w:r>
        <w:rPr>
          <w:rFonts w:hint="eastAsia" w:cs="宋体" w:asciiTheme="minorEastAsia" w:hAnsiTheme="minorEastAsia" w:eastAsiaTheme="minorEastAsia"/>
          <w:bCs/>
          <w:color w:val="auto"/>
          <w:kern w:val="0"/>
          <w:sz w:val="24"/>
          <w:szCs w:val="24"/>
        </w:rPr>
        <w:t>.</w:t>
      </w:r>
      <w:r>
        <w:rPr>
          <w:rFonts w:hint="eastAsia" w:asciiTheme="minorEastAsia" w:hAnsiTheme="minorEastAsia" w:eastAsiaTheme="minorEastAsia"/>
          <w:color w:val="auto"/>
          <w:sz w:val="24"/>
          <w:szCs w:val="24"/>
        </w:rPr>
        <w:t>服务方案详细完整，包含保修期内服务条款及服务响应条款、服务保障体系及承诺、技术服务力量、保修期外具体服务承诺及维修收费标准，备品备件清单等内容</w:t>
      </w:r>
      <w:r>
        <w:rPr>
          <w:rFonts w:hint="eastAsia" w:cs="宋体" w:asciiTheme="minorEastAsia" w:hAnsiTheme="minorEastAsia" w:eastAsiaTheme="minorEastAsia"/>
          <w:bCs/>
          <w:color w:val="auto"/>
          <w:kern w:val="0"/>
          <w:sz w:val="24"/>
          <w:szCs w:val="24"/>
        </w:rPr>
        <w:t>（自拟）</w:t>
      </w:r>
    </w:p>
    <w:p w14:paraId="37C9F9C8">
      <w:pPr>
        <w:widowControl/>
        <w:spacing w:line="360" w:lineRule="auto"/>
        <w:ind w:firstLine="470" w:firstLineChars="196"/>
        <w:jc w:val="left"/>
        <w:rPr>
          <w:rFonts w:cs="宋体" w:asciiTheme="minorEastAsia" w:hAnsiTheme="minorEastAsia" w:eastAsiaTheme="minorEastAsia"/>
          <w:bCs/>
          <w:color w:val="auto"/>
          <w:kern w:val="0"/>
          <w:sz w:val="24"/>
          <w:szCs w:val="24"/>
        </w:rPr>
      </w:pPr>
      <w:r>
        <w:rPr>
          <w:rFonts w:hint="eastAsia" w:cs="宋体" w:asciiTheme="minorEastAsia" w:hAnsiTheme="minorEastAsia" w:eastAsiaTheme="minorEastAsia"/>
          <w:bCs/>
          <w:color w:val="auto"/>
          <w:kern w:val="0"/>
          <w:sz w:val="24"/>
          <w:szCs w:val="24"/>
        </w:rPr>
        <w:t>所有响应文件材料加盖公章，一式三份分别密封（一正两副），响应文件的正本和副本应在封面显著位置清楚标明“正本”或“副本”字样。如正本和副本内容不一致以正本书面文件为准。A4纸规格，加盖公章，顺序装订。密封袋须用封条密封加盖公章。</w:t>
      </w:r>
    </w:p>
    <w:p w14:paraId="2EDF8A2C">
      <w:pPr>
        <w:widowControl/>
        <w:spacing w:line="360" w:lineRule="auto"/>
        <w:ind w:firstLine="470" w:firstLineChars="196"/>
        <w:jc w:val="left"/>
        <w:rPr>
          <w:rFonts w:cs="宋体" w:asciiTheme="minorEastAsia" w:hAnsiTheme="minorEastAsia" w:eastAsiaTheme="minorEastAsia"/>
          <w:bCs/>
          <w:color w:val="FF0000"/>
          <w:kern w:val="0"/>
          <w:sz w:val="24"/>
          <w:szCs w:val="24"/>
        </w:rPr>
      </w:pPr>
      <w:r>
        <w:rPr>
          <w:rFonts w:hint="eastAsia" w:cs="宋体" w:asciiTheme="minorEastAsia" w:hAnsiTheme="minorEastAsia" w:eastAsiaTheme="minorEastAsia"/>
          <w:bCs/>
          <w:color w:val="FF0000"/>
          <w:kern w:val="0"/>
          <w:sz w:val="24"/>
          <w:szCs w:val="24"/>
        </w:rPr>
        <w:t>注：投标人可根据项目需求内容添加响应文件资料。</w:t>
      </w:r>
    </w:p>
    <w:p w14:paraId="7CF3A89B">
      <w:pPr>
        <w:pStyle w:val="13"/>
        <w:jc w:val="both"/>
        <w:rPr>
          <w:rFonts w:cs="宋体" w:asciiTheme="minorEastAsia" w:hAnsiTheme="minorEastAsia" w:eastAsiaTheme="minorEastAsia"/>
          <w:color w:val="auto"/>
          <w:sz w:val="24"/>
          <w:szCs w:val="24"/>
        </w:rPr>
      </w:pPr>
    </w:p>
    <w:p w14:paraId="0402609D">
      <w:pPr>
        <w:pStyle w:val="13"/>
        <w:jc w:val="both"/>
        <w:rPr>
          <w:rFonts w:cs="宋体" w:asciiTheme="minorEastAsia" w:hAnsiTheme="minorEastAsia" w:eastAsiaTheme="minorEastAsia"/>
          <w:b w:val="0"/>
          <w:color w:val="auto"/>
          <w:sz w:val="24"/>
          <w:szCs w:val="24"/>
        </w:rPr>
      </w:pPr>
      <w:r>
        <w:rPr>
          <w:rFonts w:hint="eastAsia" w:cs="宋体" w:asciiTheme="minorEastAsia" w:hAnsiTheme="minorEastAsia" w:eastAsiaTheme="minorEastAsia"/>
          <w:b w:val="0"/>
          <w:color w:val="auto"/>
          <w:sz w:val="24"/>
          <w:szCs w:val="24"/>
        </w:rPr>
        <w:t>附件1：</w:t>
      </w:r>
    </w:p>
    <w:p w14:paraId="1939B6E0">
      <w:pPr>
        <w:pStyle w:val="13"/>
        <w:jc w:val="both"/>
        <w:rPr>
          <w:rFonts w:asciiTheme="minorEastAsia" w:hAnsiTheme="minorEastAsia" w:eastAsiaTheme="minorEastAsia"/>
          <w:color w:val="auto"/>
          <w:sz w:val="44"/>
          <w:szCs w:val="44"/>
        </w:rPr>
      </w:pPr>
      <w:r>
        <w:rPr>
          <w:rFonts w:hint="eastAsia" w:asciiTheme="minorEastAsia" w:hAnsiTheme="minorEastAsia" w:eastAsiaTheme="minorEastAsia"/>
          <w:color w:val="auto"/>
        </w:rPr>
        <w:t>封面：</w:t>
      </w:r>
    </w:p>
    <w:p w14:paraId="7CCDC576">
      <w:pPr>
        <w:widowControl/>
        <w:spacing w:line="600" w:lineRule="exact"/>
        <w:jc w:val="center"/>
        <w:rPr>
          <w:rFonts w:hint="eastAsia" w:cs="Helvetica" w:asciiTheme="minorEastAsia" w:hAnsiTheme="minorEastAsia" w:eastAsiaTheme="minorEastAsia"/>
          <w:b/>
          <w:color w:val="auto"/>
          <w:kern w:val="0"/>
          <w:sz w:val="36"/>
          <w:szCs w:val="36"/>
          <w:u w:val="single"/>
        </w:rPr>
      </w:pPr>
      <w:r>
        <w:rPr>
          <w:rFonts w:hint="eastAsia" w:cs="Helvetica" w:asciiTheme="minorEastAsia" w:hAnsiTheme="minorEastAsia" w:eastAsiaTheme="minorEastAsia"/>
          <w:b/>
          <w:color w:val="auto"/>
          <w:kern w:val="0"/>
          <w:sz w:val="36"/>
          <w:szCs w:val="36"/>
        </w:rPr>
        <w:t>江门市技师学院潮</w:t>
      </w:r>
      <w:r>
        <w:rPr>
          <w:rFonts w:hint="eastAsia" w:cs="Helvetica" w:asciiTheme="minorEastAsia" w:hAnsiTheme="minorEastAsia" w:eastAsiaTheme="minorEastAsia"/>
          <w:b/>
          <w:color w:val="auto"/>
          <w:kern w:val="0"/>
          <w:sz w:val="36"/>
          <w:szCs w:val="36"/>
          <w:lang w:val="en-US" w:eastAsia="zh-CN"/>
        </w:rPr>
        <w:t>连</w:t>
      </w:r>
      <w:r>
        <w:rPr>
          <w:rFonts w:hint="eastAsia" w:cs="Helvetica" w:asciiTheme="minorEastAsia" w:hAnsiTheme="minorEastAsia" w:eastAsiaTheme="minorEastAsia"/>
          <w:b/>
          <w:color w:val="auto"/>
          <w:kern w:val="0"/>
          <w:sz w:val="36"/>
          <w:szCs w:val="36"/>
        </w:rPr>
        <w:t>校区教学楼语音广播系统</w:t>
      </w:r>
    </w:p>
    <w:p w14:paraId="3202F352">
      <w:pPr>
        <w:spacing w:line="240" w:lineRule="atLeast"/>
        <w:jc w:val="center"/>
        <w:rPr>
          <w:rFonts w:hint="default" w:asciiTheme="minorEastAsia" w:hAnsiTheme="minorEastAsia" w:eastAsiaTheme="minorEastAsia"/>
          <w:b/>
          <w:color w:val="auto"/>
          <w:sz w:val="28"/>
          <w:szCs w:val="28"/>
          <w:lang w:val="en-US" w:eastAsia="zh-CN"/>
        </w:rPr>
      </w:pPr>
      <w:r>
        <w:rPr>
          <w:rFonts w:hint="eastAsia" w:asciiTheme="minorEastAsia" w:hAnsiTheme="minorEastAsia" w:eastAsiaTheme="minorEastAsia"/>
          <w:b/>
          <w:color w:val="auto"/>
          <w:sz w:val="28"/>
          <w:szCs w:val="28"/>
        </w:rPr>
        <w:t>项目编号：</w:t>
      </w:r>
      <w:r>
        <w:rPr>
          <w:rFonts w:hint="eastAsia" w:asciiTheme="minorEastAsia" w:hAnsiTheme="minorEastAsia" w:eastAsiaTheme="minorEastAsia"/>
          <w:b/>
          <w:color w:val="auto"/>
          <w:sz w:val="28"/>
          <w:szCs w:val="28"/>
          <w:lang w:val="en-US" w:eastAsia="zh-CN"/>
        </w:rPr>
        <w:t>xxjsx</w:t>
      </w:r>
      <w:r>
        <w:rPr>
          <w:rFonts w:hint="eastAsia" w:asciiTheme="minorEastAsia" w:hAnsiTheme="minorEastAsia" w:eastAsiaTheme="minorEastAsia"/>
          <w:b/>
          <w:color w:val="auto"/>
          <w:sz w:val="28"/>
          <w:szCs w:val="28"/>
        </w:rPr>
        <w:t>-</w:t>
      </w:r>
      <w:r>
        <w:rPr>
          <w:rFonts w:hint="eastAsia" w:asciiTheme="minorEastAsia" w:hAnsiTheme="minorEastAsia" w:eastAsiaTheme="minorEastAsia"/>
          <w:b/>
          <w:color w:val="auto"/>
          <w:sz w:val="28"/>
          <w:szCs w:val="28"/>
          <w:lang w:val="en-US" w:eastAsia="zh-CN"/>
        </w:rPr>
        <w:t>cgzx</w:t>
      </w:r>
      <w:r>
        <w:rPr>
          <w:rFonts w:hint="eastAsia" w:asciiTheme="minorEastAsia" w:hAnsiTheme="minorEastAsia" w:eastAsiaTheme="minorEastAsia"/>
          <w:b/>
          <w:color w:val="auto"/>
          <w:sz w:val="28"/>
          <w:szCs w:val="28"/>
        </w:rPr>
        <w:t>-202</w:t>
      </w:r>
      <w:r>
        <w:rPr>
          <w:rFonts w:hint="eastAsia" w:asciiTheme="minorEastAsia" w:hAnsiTheme="minorEastAsia" w:eastAsiaTheme="minorEastAsia"/>
          <w:b/>
          <w:color w:val="auto"/>
          <w:sz w:val="28"/>
          <w:szCs w:val="28"/>
          <w:lang w:val="en-US" w:eastAsia="zh-CN"/>
        </w:rPr>
        <w:t>6</w:t>
      </w:r>
      <w:r>
        <w:rPr>
          <w:rFonts w:hint="eastAsia" w:asciiTheme="minorEastAsia" w:hAnsiTheme="minorEastAsia" w:eastAsiaTheme="minorEastAsia"/>
          <w:b/>
          <w:color w:val="auto"/>
          <w:sz w:val="28"/>
          <w:szCs w:val="28"/>
        </w:rPr>
        <w:t>-</w:t>
      </w:r>
      <w:r>
        <w:rPr>
          <w:rFonts w:hint="eastAsia" w:asciiTheme="minorEastAsia" w:hAnsiTheme="minorEastAsia" w:eastAsiaTheme="minorEastAsia"/>
          <w:b/>
          <w:color w:val="auto"/>
          <w:sz w:val="28"/>
          <w:szCs w:val="28"/>
          <w:lang w:val="en-US" w:eastAsia="zh-CN"/>
        </w:rPr>
        <w:t>03</w:t>
      </w:r>
    </w:p>
    <w:p w14:paraId="6F41308E">
      <w:pPr>
        <w:spacing w:line="240" w:lineRule="atLeast"/>
        <w:jc w:val="center"/>
        <w:rPr>
          <w:rFonts w:asciiTheme="minorEastAsia" w:hAnsiTheme="minorEastAsia" w:eastAsiaTheme="minorEastAsia"/>
          <w:b/>
          <w:color w:val="auto"/>
          <w:sz w:val="44"/>
          <w:szCs w:val="44"/>
        </w:rPr>
      </w:pPr>
    </w:p>
    <w:p w14:paraId="0574AC3E">
      <w:pPr>
        <w:spacing w:line="240" w:lineRule="atLeast"/>
        <w:jc w:val="center"/>
        <w:rPr>
          <w:rFonts w:asciiTheme="minorEastAsia" w:hAnsiTheme="minorEastAsia" w:eastAsiaTheme="minorEastAsia"/>
          <w:b/>
          <w:bCs/>
          <w:color w:val="auto"/>
          <w:sz w:val="72"/>
          <w:szCs w:val="72"/>
        </w:rPr>
      </w:pPr>
      <w:r>
        <w:rPr>
          <w:rFonts w:hint="eastAsia" w:asciiTheme="minorEastAsia" w:hAnsiTheme="minorEastAsia" w:eastAsiaTheme="minorEastAsia"/>
          <w:b/>
          <w:bCs/>
          <w:color w:val="auto"/>
          <w:sz w:val="72"/>
          <w:szCs w:val="72"/>
        </w:rPr>
        <w:t>响</w:t>
      </w:r>
    </w:p>
    <w:p w14:paraId="0C70213A">
      <w:pPr>
        <w:spacing w:line="240" w:lineRule="atLeast"/>
        <w:jc w:val="center"/>
        <w:rPr>
          <w:rFonts w:asciiTheme="minorEastAsia" w:hAnsiTheme="minorEastAsia" w:eastAsiaTheme="minorEastAsia"/>
          <w:b/>
          <w:bCs/>
          <w:color w:val="auto"/>
          <w:sz w:val="72"/>
          <w:szCs w:val="72"/>
        </w:rPr>
      </w:pPr>
      <w:r>
        <w:rPr>
          <w:rFonts w:hint="eastAsia" w:asciiTheme="minorEastAsia" w:hAnsiTheme="minorEastAsia" w:eastAsiaTheme="minorEastAsia"/>
          <w:b/>
          <w:bCs/>
          <w:color w:val="auto"/>
          <w:sz w:val="72"/>
          <w:szCs w:val="72"/>
        </w:rPr>
        <w:t>应</w:t>
      </w:r>
    </w:p>
    <w:p w14:paraId="070A6751">
      <w:pPr>
        <w:spacing w:line="240" w:lineRule="atLeast"/>
        <w:jc w:val="center"/>
        <w:rPr>
          <w:rFonts w:asciiTheme="minorEastAsia" w:hAnsiTheme="minorEastAsia" w:eastAsiaTheme="minorEastAsia"/>
          <w:b/>
          <w:bCs/>
          <w:color w:val="auto"/>
          <w:sz w:val="72"/>
          <w:szCs w:val="72"/>
        </w:rPr>
      </w:pPr>
      <w:r>
        <w:rPr>
          <w:rFonts w:hint="eastAsia" w:asciiTheme="minorEastAsia" w:hAnsiTheme="minorEastAsia" w:eastAsiaTheme="minorEastAsia"/>
          <w:b/>
          <w:bCs/>
          <w:color w:val="auto"/>
          <w:sz w:val="72"/>
          <w:szCs w:val="72"/>
        </w:rPr>
        <w:t>文</w:t>
      </w:r>
    </w:p>
    <w:p w14:paraId="3D2C1EA7">
      <w:pPr>
        <w:spacing w:line="240" w:lineRule="atLeast"/>
        <w:jc w:val="center"/>
        <w:rPr>
          <w:rFonts w:asciiTheme="minorEastAsia" w:hAnsiTheme="minorEastAsia" w:eastAsiaTheme="minorEastAsia"/>
          <w:color w:val="auto"/>
          <w:sz w:val="72"/>
          <w:szCs w:val="72"/>
        </w:rPr>
      </w:pPr>
      <w:r>
        <w:rPr>
          <w:rFonts w:hint="eastAsia" w:asciiTheme="minorEastAsia" w:hAnsiTheme="minorEastAsia" w:eastAsiaTheme="minorEastAsia"/>
          <w:b/>
          <w:bCs/>
          <w:color w:val="auto"/>
          <w:sz w:val="72"/>
          <w:szCs w:val="72"/>
        </w:rPr>
        <w:t>件</w:t>
      </w:r>
    </w:p>
    <w:p w14:paraId="164D4248">
      <w:pPr>
        <w:spacing w:line="240" w:lineRule="atLeast"/>
        <w:ind w:firstLine="320" w:firstLineChars="100"/>
        <w:jc w:val="center"/>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（正本/副本）</w:t>
      </w:r>
    </w:p>
    <w:p w14:paraId="156B5FB7">
      <w:pPr>
        <w:spacing w:line="360" w:lineRule="auto"/>
        <w:rPr>
          <w:rFonts w:asciiTheme="minorEastAsia" w:hAnsiTheme="minorEastAsia" w:eastAsiaTheme="minorEastAsia"/>
          <w:color w:val="auto"/>
          <w:sz w:val="28"/>
          <w:szCs w:val="28"/>
        </w:rPr>
      </w:pPr>
    </w:p>
    <w:p w14:paraId="00606FB6">
      <w:pPr>
        <w:spacing w:line="360" w:lineRule="auto"/>
        <w:ind w:firstLine="1260" w:firstLineChars="450"/>
        <w:jc w:val="left"/>
        <w:rPr>
          <w:rFonts w:asciiTheme="minorEastAsia" w:hAnsiTheme="minorEastAsia" w:eastAsiaTheme="minorEastAsia"/>
          <w:color w:val="auto"/>
          <w:sz w:val="28"/>
        </w:rPr>
      </w:pPr>
      <w:r>
        <w:rPr>
          <w:rFonts w:hint="eastAsia" w:asciiTheme="minorEastAsia" w:hAnsiTheme="minorEastAsia" w:eastAsiaTheme="minorEastAsia"/>
          <w:color w:val="auto"/>
          <w:sz w:val="28"/>
        </w:rPr>
        <w:t>投标人（盖章）：</w:t>
      </w:r>
    </w:p>
    <w:p w14:paraId="74AC05C1">
      <w:pPr>
        <w:spacing w:line="360" w:lineRule="auto"/>
        <w:ind w:firstLine="1260" w:firstLineChars="450"/>
        <w:jc w:val="left"/>
        <w:rPr>
          <w:rFonts w:asciiTheme="minorEastAsia" w:hAnsiTheme="minorEastAsia" w:eastAsiaTheme="minorEastAsia"/>
          <w:color w:val="auto"/>
          <w:sz w:val="28"/>
        </w:rPr>
      </w:pPr>
      <w:r>
        <w:rPr>
          <w:rFonts w:hint="eastAsia" w:asciiTheme="minorEastAsia" w:hAnsiTheme="minorEastAsia" w:eastAsiaTheme="minorEastAsia"/>
          <w:color w:val="auto"/>
          <w:sz w:val="28"/>
        </w:rPr>
        <w:t>法定代表人（或经营者）或委托代理人（签字）：</w:t>
      </w:r>
    </w:p>
    <w:p w14:paraId="13E8C0C9">
      <w:pPr>
        <w:spacing w:line="360" w:lineRule="auto"/>
        <w:ind w:right="-732" w:rightChars="-244" w:firstLine="1260" w:firstLineChars="450"/>
        <w:jc w:val="left"/>
        <w:rPr>
          <w:rFonts w:asciiTheme="minorEastAsia" w:hAnsiTheme="minorEastAsia" w:eastAsiaTheme="minorEastAsia"/>
          <w:color w:val="auto"/>
          <w:sz w:val="28"/>
        </w:rPr>
      </w:pPr>
      <w:r>
        <w:rPr>
          <w:rFonts w:hint="eastAsia" w:asciiTheme="minorEastAsia" w:hAnsiTheme="minorEastAsia" w:eastAsiaTheme="minorEastAsia"/>
          <w:color w:val="auto"/>
          <w:sz w:val="28"/>
        </w:rPr>
        <w:t>日期：年</w:t>
      </w:r>
      <w:r>
        <w:rPr>
          <w:rFonts w:hint="eastAsia" w:asciiTheme="minorEastAsia" w:hAnsiTheme="minorEastAsia" w:eastAsiaTheme="minorEastAsia"/>
          <w:color w:val="auto"/>
          <w:sz w:val="28"/>
          <w:lang w:val="en-US" w:eastAsia="zh-CN"/>
        </w:rPr>
        <w:t xml:space="preserve">   </w:t>
      </w:r>
      <w:r>
        <w:rPr>
          <w:rFonts w:hint="eastAsia" w:asciiTheme="minorEastAsia" w:hAnsiTheme="minorEastAsia" w:eastAsiaTheme="minorEastAsia"/>
          <w:color w:val="auto"/>
          <w:sz w:val="28"/>
        </w:rPr>
        <w:t>月</w:t>
      </w:r>
      <w:r>
        <w:rPr>
          <w:rFonts w:hint="eastAsia" w:asciiTheme="minorEastAsia" w:hAnsiTheme="minorEastAsia" w:eastAsiaTheme="minorEastAsia"/>
          <w:color w:val="auto"/>
          <w:sz w:val="28"/>
          <w:lang w:val="en-US" w:eastAsia="zh-CN"/>
        </w:rPr>
        <w:t xml:space="preserve">   </w:t>
      </w:r>
      <w:r>
        <w:rPr>
          <w:rFonts w:hint="eastAsia" w:asciiTheme="minorEastAsia" w:hAnsiTheme="minorEastAsia" w:eastAsiaTheme="minorEastAsia"/>
          <w:color w:val="auto"/>
          <w:sz w:val="28"/>
        </w:rPr>
        <w:t>日</w:t>
      </w:r>
      <w:r>
        <w:rPr>
          <w:rFonts w:asciiTheme="minorEastAsia" w:hAnsiTheme="minorEastAsia" w:eastAsiaTheme="minorEastAsia"/>
          <w:color w:val="auto"/>
          <w:sz w:val="28"/>
        </w:rPr>
        <w:br w:type="page"/>
      </w:r>
    </w:p>
    <w:p w14:paraId="05AFB1C6">
      <w:pPr>
        <w:spacing w:line="240" w:lineRule="atLeast"/>
        <w:ind w:right="-732" w:rightChars="-244"/>
        <w:rPr>
          <w:rFonts w:asciiTheme="minorEastAsia" w:hAnsiTheme="minorEastAsia" w:eastAsiaTheme="minorEastAsia"/>
          <w:color w:val="auto"/>
          <w:sz w:val="28"/>
        </w:rPr>
      </w:pPr>
      <w:r>
        <w:rPr>
          <w:rFonts w:hint="eastAsia" w:asciiTheme="minorEastAsia" w:hAnsiTheme="minorEastAsia" w:eastAsiaTheme="minorEastAsia"/>
          <w:color w:val="auto"/>
          <w:sz w:val="28"/>
        </w:rPr>
        <w:t>封面粘贴要求：按统一格式，完善相关资料后打印贴于档案袋正面</w:t>
      </w:r>
    </w:p>
    <w:p w14:paraId="1B09B570">
      <w:pPr>
        <w:spacing w:line="240" w:lineRule="atLeast"/>
        <w:ind w:right="-732" w:rightChars="-244"/>
        <w:rPr>
          <w:rFonts w:asciiTheme="minorEastAsia" w:hAnsiTheme="minorEastAsia" w:eastAsiaTheme="minorEastAsia"/>
          <w:color w:val="auto"/>
          <w:sz w:val="28"/>
        </w:rPr>
      </w:pPr>
      <w:r>
        <w:rPr>
          <w:rFonts w:hint="eastAsia" w:asciiTheme="minorEastAsia" w:hAnsiTheme="minorEastAsia" w:eastAsiaTheme="minorEastAsia"/>
          <w:color w:val="auto"/>
          <w:sz w:val="28"/>
        </w:rPr>
        <w:t>注意：请选择正本或副本，并加盖单位公章。</w:t>
      </w:r>
    </w:p>
    <w:p w14:paraId="79ABF9DC">
      <w:pPr>
        <w:spacing w:line="240" w:lineRule="atLeast"/>
        <w:ind w:right="-732" w:rightChars="-244"/>
        <w:rPr>
          <w:rFonts w:asciiTheme="minorEastAsia" w:hAnsiTheme="minorEastAsia" w:eastAsiaTheme="minorEastAsia"/>
          <w:color w:val="auto"/>
          <w:sz w:val="28"/>
        </w:rPr>
      </w:pPr>
      <w:r>
        <w:rPr>
          <w:rFonts w:hint="eastAsia" w:asciiTheme="minorEastAsia" w:hAnsiTheme="minorEastAsia" w:eastAsiaTheme="minorEastAsia"/>
          <w:color w:val="auto"/>
          <w:sz w:val="28"/>
        </w:rPr>
        <w:drawing>
          <wp:inline distT="0" distB="0" distL="0" distR="0">
            <wp:extent cx="4813935" cy="7030085"/>
            <wp:effectExtent l="0" t="0" r="0"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l="8031" r="5616" b="5360"/>
                    <a:stretch>
                      <a:fillRect/>
                    </a:stretch>
                  </pic:blipFill>
                  <pic:spPr>
                    <a:xfrm>
                      <a:off x="0" y="0"/>
                      <a:ext cx="4813935" cy="7030085"/>
                    </a:xfrm>
                    <a:prstGeom prst="rect">
                      <a:avLst/>
                    </a:prstGeom>
                    <a:noFill/>
                    <a:ln w="9525">
                      <a:noFill/>
                      <a:miter lim="800000"/>
                      <a:headEnd/>
                      <a:tailEnd/>
                    </a:ln>
                  </pic:spPr>
                </pic:pic>
              </a:graphicData>
            </a:graphic>
          </wp:inline>
        </w:drawing>
      </w:r>
    </w:p>
    <w:p w14:paraId="40D69857">
      <w:pPr>
        <w:widowControl/>
        <w:jc w:val="left"/>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br w:type="page"/>
      </w:r>
    </w:p>
    <w:p w14:paraId="589B3F57">
      <w:pPr>
        <w:spacing w:line="240" w:lineRule="atLeast"/>
        <w:ind w:right="-732" w:rightChars="-244"/>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封条粘贴要求：密封条须贴在档案袋封口处，盖骑缝公章。</w:t>
      </w:r>
    </w:p>
    <w:p w14:paraId="1E563653">
      <w:pPr>
        <w:spacing w:line="240" w:lineRule="atLeast"/>
        <w:ind w:right="-732" w:rightChars="-244"/>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注意：下图仅供参考，密封条粘贴及盖章位置按需处理。</w:t>
      </w:r>
    </w:p>
    <w:p w14:paraId="522AC703">
      <w:pPr>
        <w:spacing w:line="240" w:lineRule="atLeast"/>
        <w:ind w:right="-732" w:rightChars="-244"/>
        <w:rPr>
          <w:rFonts w:asciiTheme="minorEastAsia" w:hAnsiTheme="minorEastAsia" w:eastAsiaTheme="minorEastAsia"/>
          <w:b/>
          <w:color w:val="auto"/>
          <w:sz w:val="36"/>
          <w:szCs w:val="36"/>
        </w:rPr>
      </w:pPr>
      <w:r>
        <w:rPr>
          <w:rFonts w:asciiTheme="minorEastAsia" w:hAnsiTheme="minorEastAsia" w:eastAsiaTheme="minorEastAsia"/>
          <w:color w:val="auto"/>
          <w:sz w:val="28"/>
          <w:szCs w:val="28"/>
        </w:rPr>
        <w:drawing>
          <wp:inline distT="0" distB="0" distL="0" distR="0">
            <wp:extent cx="5574665" cy="7606030"/>
            <wp:effectExtent l="0" t="0" r="6985" b="1397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5574665" cy="7606030"/>
                    </a:xfrm>
                    <a:prstGeom prst="rect">
                      <a:avLst/>
                    </a:prstGeom>
                    <a:noFill/>
                    <a:ln w="9525">
                      <a:noFill/>
                      <a:miter lim="800000"/>
                      <a:headEnd/>
                      <a:tailEnd/>
                    </a:ln>
                  </pic:spPr>
                </pic:pic>
              </a:graphicData>
            </a:graphic>
          </wp:inline>
        </w:drawing>
      </w:r>
      <w:r>
        <w:rPr>
          <w:rFonts w:asciiTheme="minorEastAsia" w:hAnsiTheme="minorEastAsia" w:eastAsiaTheme="minorEastAsia"/>
          <w:b/>
          <w:color w:val="auto"/>
          <w:sz w:val="36"/>
          <w:szCs w:val="36"/>
        </w:rPr>
        <w:br w:type="page"/>
      </w:r>
    </w:p>
    <w:p w14:paraId="535500EE">
      <w:pPr>
        <w:widowControl/>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附件2：</w:t>
      </w:r>
    </w:p>
    <w:p w14:paraId="37B793E6">
      <w:pPr>
        <w:widowControl/>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投标人资格声明函</w:t>
      </w:r>
    </w:p>
    <w:p w14:paraId="63335666">
      <w:pPr>
        <w:widowControl/>
        <w:jc w:val="left"/>
        <w:rPr>
          <w:rFonts w:asciiTheme="minorEastAsia" w:hAnsiTheme="minorEastAsia" w:eastAsiaTheme="minorEastAsia"/>
          <w:b/>
          <w:color w:val="auto"/>
          <w:sz w:val="28"/>
          <w:szCs w:val="28"/>
        </w:rPr>
      </w:pPr>
    </w:p>
    <w:p w14:paraId="0BCC6290">
      <w:pPr>
        <w:spacing w:line="360" w:lineRule="auto"/>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致：</w:t>
      </w:r>
      <w:r>
        <w:rPr>
          <w:rFonts w:hint="eastAsia" w:asciiTheme="minorEastAsia" w:hAnsiTheme="minorEastAsia" w:eastAsiaTheme="minorEastAsia"/>
          <w:color w:val="auto"/>
          <w:sz w:val="28"/>
          <w:szCs w:val="28"/>
          <w:u w:val="single"/>
        </w:rPr>
        <w:t>江门市技师学院</w:t>
      </w:r>
    </w:p>
    <w:p w14:paraId="50D4BEDB">
      <w:pPr>
        <w:widowControl/>
        <w:spacing w:line="36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u w:val="single"/>
        </w:rPr>
        <w:t>（投标人）</w:t>
      </w:r>
      <w:r>
        <w:rPr>
          <w:rFonts w:hint="eastAsia" w:asciiTheme="minorEastAsia" w:hAnsiTheme="minorEastAsia" w:eastAsiaTheme="minorEastAsia"/>
          <w:color w:val="auto"/>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129FC4FF">
      <w:pPr>
        <w:widowControl/>
        <w:spacing w:line="36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我单位具备《中华人民共和国政府采购法》第二十二条规定的条件。</w:t>
      </w:r>
    </w:p>
    <w:p w14:paraId="012170E2">
      <w:pPr>
        <w:widowControl/>
        <w:spacing w:line="36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我单位作为法律、财务和运作上独立于采购人、采购代理机构的投标人，在此保证所提交的所有文件和全部说明是真实的和正确的。</w:t>
      </w:r>
    </w:p>
    <w:p w14:paraId="67A951C1">
      <w:pPr>
        <w:widowControl/>
        <w:spacing w:line="36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我单位与其他投标人不存在单位负责人为同一人或者存在直接控股、管理关系。</w:t>
      </w:r>
    </w:p>
    <w:p w14:paraId="48912BA4">
      <w:pPr>
        <w:spacing w:line="36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如果本承诺与事实不符，我单位愿意无条件承担由此给本项目带来的一切后果(包括经济损失)。</w:t>
      </w:r>
    </w:p>
    <w:p w14:paraId="013CE222">
      <w:pPr>
        <w:spacing w:line="360" w:lineRule="auto"/>
        <w:rPr>
          <w:rFonts w:asciiTheme="minorEastAsia" w:hAnsiTheme="minorEastAsia" w:eastAsiaTheme="minorEastAsia"/>
          <w:color w:val="auto"/>
          <w:sz w:val="28"/>
          <w:szCs w:val="28"/>
        </w:rPr>
      </w:pPr>
    </w:p>
    <w:p w14:paraId="0E4C73AF">
      <w:pPr>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投标人名称：</w:t>
      </w:r>
      <w:r>
        <w:rPr>
          <w:rFonts w:hint="eastAsia" w:asciiTheme="minorEastAsia" w:hAnsiTheme="minorEastAsia" w:eastAsiaTheme="minorEastAsia"/>
          <w:color w:val="auto"/>
          <w:sz w:val="28"/>
          <w:szCs w:val="28"/>
          <w:u w:val="single"/>
        </w:rPr>
        <w:t>（全称、盖章）</w:t>
      </w:r>
    </w:p>
    <w:p w14:paraId="1C8E8EB2">
      <w:pPr>
        <w:spacing w:line="36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rPr>
        <w:t>法定代表人（或经营者）</w:t>
      </w:r>
      <w:r>
        <w:rPr>
          <w:rFonts w:hint="eastAsia" w:asciiTheme="minorEastAsia" w:hAnsiTheme="minorEastAsia" w:eastAsiaTheme="minorEastAsia"/>
          <w:color w:val="auto"/>
          <w:sz w:val="28"/>
          <w:szCs w:val="28"/>
        </w:rPr>
        <w:t>或授权代表：</w:t>
      </w:r>
      <w:r>
        <w:rPr>
          <w:rFonts w:hint="eastAsia" w:asciiTheme="minorEastAsia" w:hAnsiTheme="minorEastAsia" w:eastAsiaTheme="minorEastAsia"/>
          <w:color w:val="auto"/>
          <w:sz w:val="28"/>
          <w:szCs w:val="28"/>
          <w:u w:val="single"/>
        </w:rPr>
        <w:t>（签字）</w:t>
      </w:r>
    </w:p>
    <w:p w14:paraId="384625A7">
      <w:pPr>
        <w:spacing w:line="360" w:lineRule="auto"/>
        <w:ind w:firstLine="560" w:firstLineChars="200"/>
        <w:rPr>
          <w:rFonts w:asciiTheme="minorEastAsia" w:hAnsiTheme="minorEastAsia" w:eastAsiaTheme="minorEastAsia"/>
          <w:b/>
          <w:color w:val="auto"/>
          <w:sz w:val="36"/>
          <w:szCs w:val="36"/>
        </w:rPr>
      </w:pPr>
      <w:r>
        <w:rPr>
          <w:rFonts w:hint="eastAsia" w:asciiTheme="minorEastAsia" w:hAnsiTheme="minorEastAsia" w:eastAsiaTheme="minorEastAsia"/>
          <w:color w:val="auto"/>
          <w:sz w:val="28"/>
          <w:szCs w:val="28"/>
        </w:rPr>
        <w:t>日期：</w:t>
      </w:r>
      <w:r>
        <w:rPr>
          <w:rFonts w:hint="eastAsia" w:asciiTheme="minorEastAsia" w:hAnsiTheme="minorEastAsia" w:eastAsiaTheme="minorEastAsia"/>
          <w:color w:val="auto"/>
          <w:sz w:val="28"/>
          <w:szCs w:val="28"/>
          <w:u w:val="single"/>
        </w:rPr>
        <w:t>　　年　　月　　日　</w:t>
      </w:r>
      <w:r>
        <w:rPr>
          <w:rFonts w:asciiTheme="minorEastAsia" w:hAnsiTheme="minorEastAsia" w:eastAsiaTheme="minorEastAsia"/>
          <w:b/>
          <w:color w:val="auto"/>
          <w:sz w:val="28"/>
          <w:szCs w:val="28"/>
        </w:rPr>
        <w:br w:type="page"/>
      </w:r>
    </w:p>
    <w:p w14:paraId="742E111C">
      <w:pPr>
        <w:widowControl/>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附件3：</w:t>
      </w:r>
    </w:p>
    <w:p w14:paraId="7D870042">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无重大违法记录声明函</w:t>
      </w:r>
    </w:p>
    <w:p w14:paraId="6BEA6B5F">
      <w:pPr>
        <w:tabs>
          <w:tab w:val="left" w:pos="3952"/>
        </w:tabs>
        <w:rPr>
          <w:rFonts w:asciiTheme="minorEastAsia" w:hAnsiTheme="minorEastAsia" w:eastAsiaTheme="minorEastAsia"/>
          <w:color w:val="auto"/>
          <w:sz w:val="24"/>
        </w:rPr>
      </w:pPr>
    </w:p>
    <w:p w14:paraId="7D11F7CC">
      <w:pPr>
        <w:spacing w:line="480" w:lineRule="auto"/>
        <w:rPr>
          <w:rFonts w:asciiTheme="minorEastAsia" w:hAnsiTheme="minorEastAsia" w:eastAsiaTheme="minorEastAsia"/>
          <w:color w:val="auto"/>
          <w:sz w:val="28"/>
          <w:szCs w:val="28"/>
          <w:u w:val="single"/>
        </w:rPr>
      </w:pPr>
      <w:r>
        <w:rPr>
          <w:rFonts w:hint="eastAsia" w:asciiTheme="minorEastAsia" w:hAnsiTheme="minorEastAsia" w:eastAsiaTheme="minorEastAsia"/>
          <w:color w:val="auto"/>
          <w:sz w:val="28"/>
          <w:szCs w:val="28"/>
        </w:rPr>
        <w:t>致：</w:t>
      </w:r>
      <w:r>
        <w:rPr>
          <w:rFonts w:hint="eastAsia" w:asciiTheme="minorEastAsia" w:hAnsiTheme="minorEastAsia" w:eastAsiaTheme="minorEastAsia"/>
          <w:color w:val="auto"/>
          <w:sz w:val="28"/>
          <w:szCs w:val="28"/>
          <w:u w:val="single"/>
        </w:rPr>
        <w:t>江门市技师学院</w:t>
      </w:r>
    </w:p>
    <w:p w14:paraId="5A3713B5">
      <w:pPr>
        <w:spacing w:line="48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u w:val="single"/>
        </w:rPr>
        <w:t>（投标人）</w:t>
      </w:r>
      <w:r>
        <w:rPr>
          <w:rFonts w:hint="eastAsia" w:asciiTheme="minorEastAsia" w:hAnsiTheme="minorEastAsia" w:eastAsiaTheme="minorEastAsia"/>
          <w:color w:val="auto"/>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1739A8D">
      <w:pPr>
        <w:spacing w:line="480" w:lineRule="auto"/>
        <w:ind w:firstLine="560" w:firstLineChars="200"/>
        <w:jc w:val="lef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如果本承诺与事实不符，我单位愿意无条件承担由此给本项目带来的一切后果(包括经济损失)。</w:t>
      </w:r>
    </w:p>
    <w:p w14:paraId="3EA60D4F">
      <w:pPr>
        <w:spacing w:line="480" w:lineRule="auto"/>
        <w:rPr>
          <w:rFonts w:asciiTheme="minorEastAsia" w:hAnsiTheme="minorEastAsia" w:eastAsiaTheme="minorEastAsia"/>
          <w:color w:val="auto"/>
          <w:sz w:val="28"/>
          <w:szCs w:val="28"/>
        </w:rPr>
      </w:pPr>
    </w:p>
    <w:p w14:paraId="3291637A">
      <w:pPr>
        <w:spacing w:line="480" w:lineRule="auto"/>
        <w:rPr>
          <w:rFonts w:asciiTheme="minorEastAsia" w:hAnsiTheme="minorEastAsia" w:eastAsiaTheme="minorEastAsia"/>
          <w:color w:val="auto"/>
          <w:sz w:val="28"/>
          <w:szCs w:val="28"/>
        </w:rPr>
      </w:pPr>
    </w:p>
    <w:p w14:paraId="21CD6DB6">
      <w:pPr>
        <w:spacing w:line="48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投标人名称：</w:t>
      </w:r>
      <w:r>
        <w:rPr>
          <w:rFonts w:hint="eastAsia" w:asciiTheme="minorEastAsia" w:hAnsiTheme="minorEastAsia" w:eastAsiaTheme="minorEastAsia"/>
          <w:color w:val="auto"/>
          <w:sz w:val="28"/>
          <w:szCs w:val="28"/>
          <w:u w:val="single"/>
        </w:rPr>
        <w:t>（全称、盖章）</w:t>
      </w:r>
    </w:p>
    <w:p w14:paraId="0F4CC216">
      <w:pPr>
        <w:spacing w:line="480" w:lineRule="auto"/>
        <w:ind w:firstLine="560" w:firstLineChars="200"/>
        <w:rPr>
          <w:rFonts w:asciiTheme="minorEastAsia" w:hAnsiTheme="minorEastAsia" w:eastAsiaTheme="minorEastAsia"/>
          <w:color w:val="auto"/>
          <w:sz w:val="28"/>
          <w:szCs w:val="28"/>
        </w:rPr>
      </w:pPr>
      <w:r>
        <w:rPr>
          <w:rFonts w:hint="eastAsia" w:asciiTheme="minorEastAsia" w:hAnsiTheme="minorEastAsia" w:eastAsiaTheme="minorEastAsia"/>
          <w:color w:val="auto"/>
          <w:sz w:val="28"/>
        </w:rPr>
        <w:t>法定代表人（或经营者）</w:t>
      </w:r>
      <w:r>
        <w:rPr>
          <w:rFonts w:hint="eastAsia" w:asciiTheme="minorEastAsia" w:hAnsiTheme="minorEastAsia" w:eastAsiaTheme="minorEastAsia"/>
          <w:color w:val="auto"/>
          <w:sz w:val="28"/>
          <w:szCs w:val="28"/>
        </w:rPr>
        <w:t>或授权代表：</w:t>
      </w:r>
      <w:r>
        <w:rPr>
          <w:rFonts w:hint="eastAsia" w:asciiTheme="minorEastAsia" w:hAnsiTheme="minorEastAsia" w:eastAsiaTheme="minorEastAsia"/>
          <w:color w:val="auto"/>
          <w:sz w:val="28"/>
          <w:szCs w:val="28"/>
          <w:u w:val="single"/>
        </w:rPr>
        <w:t>（签字）</w:t>
      </w:r>
    </w:p>
    <w:p w14:paraId="13A42106">
      <w:pPr>
        <w:spacing w:line="480" w:lineRule="auto"/>
        <w:ind w:firstLine="560" w:firstLineChars="200"/>
        <w:rPr>
          <w:rFonts w:hint="eastAsia" w:asciiTheme="minorEastAsia" w:hAnsiTheme="minorEastAsia" w:eastAsiaTheme="minorEastAsia"/>
          <w:color w:val="auto"/>
          <w:sz w:val="28"/>
          <w:szCs w:val="28"/>
          <w:u w:val="single"/>
        </w:rPr>
        <w:sectPr>
          <w:pgSz w:w="11906" w:h="16838"/>
          <w:pgMar w:top="1814" w:right="1559" w:bottom="1814" w:left="1587" w:header="851" w:footer="992" w:gutter="0"/>
          <w:cols w:space="425" w:num="1"/>
          <w:docGrid w:type="lines" w:linePitch="408" w:charSpace="0"/>
        </w:sectPr>
      </w:pPr>
      <w:r>
        <w:rPr>
          <w:rFonts w:hint="eastAsia" w:asciiTheme="minorEastAsia" w:hAnsiTheme="minorEastAsia" w:eastAsiaTheme="minorEastAsia"/>
          <w:color w:val="auto"/>
          <w:sz w:val="28"/>
          <w:szCs w:val="28"/>
        </w:rPr>
        <w:t>日期：</w:t>
      </w:r>
      <w:r>
        <w:rPr>
          <w:rFonts w:hint="eastAsia" w:asciiTheme="minorEastAsia" w:hAnsiTheme="minorEastAsia" w:eastAsiaTheme="minorEastAsia"/>
          <w:color w:val="auto"/>
          <w:sz w:val="28"/>
          <w:szCs w:val="28"/>
          <w:u w:val="single"/>
        </w:rPr>
        <w:t>　　年　　月　　日　</w:t>
      </w:r>
    </w:p>
    <w:p w14:paraId="1619DF71">
      <w:pPr>
        <w:spacing w:line="480" w:lineRule="auto"/>
        <w:ind w:firstLine="0" w:firstLineChars="0"/>
        <w:rPr>
          <w:rFonts w:hint="eastAsia" w:asciiTheme="minorEastAsia" w:hAnsiTheme="minorEastAsia" w:eastAsiaTheme="minorEastAsia"/>
          <w:color w:val="auto"/>
          <w:sz w:val="28"/>
          <w:szCs w:val="28"/>
          <w:u w:val="single"/>
          <w:lang w:val="en-US" w:eastAsia="zh-CN"/>
        </w:rPr>
      </w:pPr>
      <w:r>
        <w:rPr>
          <w:rFonts w:hint="eastAsia" w:asciiTheme="minorEastAsia" w:hAnsiTheme="minorEastAsia" w:eastAsiaTheme="minorEastAsia"/>
          <w:color w:val="auto"/>
          <w:sz w:val="24"/>
          <w:szCs w:val="24"/>
          <w:u w:val="none"/>
          <w:lang w:val="en-US" w:eastAsia="zh-CN"/>
        </w:rPr>
        <w:t>附件4：</w:t>
      </w:r>
    </w:p>
    <w:p w14:paraId="0D56D07C">
      <w:pPr>
        <w:widowControl/>
        <w:spacing w:line="600" w:lineRule="exact"/>
        <w:jc w:val="center"/>
        <w:rPr>
          <w:rFonts w:hint="eastAsia" w:cs="Helvetica" w:asciiTheme="minorEastAsia" w:hAnsiTheme="minorEastAsia" w:eastAsiaTheme="minorEastAsia"/>
          <w:b/>
          <w:color w:val="auto"/>
          <w:kern w:val="0"/>
          <w:sz w:val="36"/>
          <w:szCs w:val="36"/>
        </w:rPr>
      </w:pPr>
      <w:r>
        <w:rPr>
          <w:rFonts w:hint="eastAsia" w:cs="Helvetica" w:asciiTheme="minorEastAsia" w:hAnsiTheme="minorEastAsia" w:eastAsiaTheme="minorEastAsia"/>
          <w:b/>
          <w:color w:val="auto"/>
          <w:kern w:val="0"/>
          <w:sz w:val="36"/>
          <w:szCs w:val="36"/>
        </w:rPr>
        <w:t>江门市技师学院</w:t>
      </w:r>
    </w:p>
    <w:p w14:paraId="4F44C1E6">
      <w:pPr>
        <w:widowControl/>
        <w:spacing w:line="600" w:lineRule="exact"/>
        <w:jc w:val="center"/>
        <w:rPr>
          <w:rFonts w:hint="default" w:cs="Helvetica" w:asciiTheme="minorEastAsia" w:hAnsiTheme="minorEastAsia" w:eastAsiaTheme="minorEastAsia"/>
          <w:b/>
          <w:color w:val="auto"/>
          <w:kern w:val="0"/>
          <w:sz w:val="36"/>
          <w:szCs w:val="36"/>
          <w:u w:val="single"/>
          <w:lang w:val="en-US" w:eastAsia="zh-CN"/>
        </w:rPr>
      </w:pPr>
      <w:r>
        <w:rPr>
          <w:rFonts w:hint="eastAsia" w:cs="Helvetica" w:asciiTheme="minorEastAsia" w:hAnsiTheme="minorEastAsia" w:eastAsiaTheme="minorEastAsia"/>
          <w:b/>
          <w:color w:val="auto"/>
          <w:kern w:val="0"/>
          <w:sz w:val="36"/>
          <w:szCs w:val="36"/>
        </w:rPr>
        <w:t>潮</w:t>
      </w:r>
      <w:r>
        <w:rPr>
          <w:rFonts w:hint="eastAsia" w:cs="Helvetica" w:asciiTheme="minorEastAsia" w:hAnsiTheme="minorEastAsia" w:eastAsiaTheme="minorEastAsia"/>
          <w:b/>
          <w:color w:val="auto"/>
          <w:kern w:val="0"/>
          <w:sz w:val="36"/>
          <w:szCs w:val="36"/>
          <w:lang w:val="en-US" w:eastAsia="zh-CN"/>
        </w:rPr>
        <w:t>连</w:t>
      </w:r>
      <w:r>
        <w:rPr>
          <w:rFonts w:hint="eastAsia" w:cs="Helvetica" w:asciiTheme="minorEastAsia" w:hAnsiTheme="minorEastAsia" w:eastAsiaTheme="minorEastAsia"/>
          <w:b/>
          <w:color w:val="auto"/>
          <w:kern w:val="0"/>
          <w:sz w:val="36"/>
          <w:szCs w:val="36"/>
        </w:rPr>
        <w:t>校区教学楼语音广播系统</w:t>
      </w:r>
      <w:r>
        <w:rPr>
          <w:rFonts w:hint="eastAsia" w:cs="Helvetica" w:asciiTheme="minorEastAsia" w:hAnsiTheme="minorEastAsia" w:eastAsiaTheme="minorEastAsia"/>
          <w:b/>
          <w:color w:val="auto"/>
          <w:kern w:val="0"/>
          <w:sz w:val="36"/>
          <w:szCs w:val="36"/>
          <w:lang w:val="en-US" w:eastAsia="zh-CN"/>
        </w:rPr>
        <w:t>项目报价表</w:t>
      </w:r>
    </w:p>
    <w:p w14:paraId="46EA08AD">
      <w:pPr>
        <w:widowControl/>
        <w:spacing w:line="600" w:lineRule="exact"/>
        <w:jc w:val="left"/>
        <w:rPr>
          <w:rFonts w:hint="default" w:asciiTheme="minorEastAsia" w:hAnsiTheme="minorEastAsia" w:eastAsiaTheme="minorEastAsia"/>
          <w:b/>
          <w:color w:val="auto"/>
          <w:sz w:val="28"/>
          <w:szCs w:val="28"/>
          <w:lang w:val="en-US" w:eastAsia="zh-CN"/>
        </w:rPr>
      </w:pPr>
      <w:r>
        <w:rPr>
          <w:rFonts w:hint="eastAsia" w:cs="Helvetica" w:asciiTheme="minorEastAsia" w:hAnsiTheme="minorEastAsia" w:eastAsiaTheme="minorEastAsia"/>
          <w:b/>
          <w:color w:val="auto"/>
          <w:kern w:val="0"/>
          <w:sz w:val="28"/>
          <w:szCs w:val="28"/>
          <w:highlight w:val="none"/>
        </w:rPr>
        <w:t>投标报价单位（盖章）：</w:t>
      </w:r>
    </w:p>
    <w:tbl>
      <w:tblPr>
        <w:tblStyle w:val="15"/>
        <w:tblW w:w="88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971"/>
        <w:gridCol w:w="4780"/>
        <w:gridCol w:w="596"/>
        <w:gridCol w:w="615"/>
        <w:gridCol w:w="615"/>
        <w:gridCol w:w="615"/>
      </w:tblGrid>
      <w:tr w14:paraId="6A2B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E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5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84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参数要求</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3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21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B2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8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总价</w:t>
            </w:r>
          </w:p>
        </w:tc>
      </w:tr>
      <w:tr w14:paraId="0DDF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D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前置</w:t>
            </w:r>
          </w:p>
          <w:p w14:paraId="36E22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放大器</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5A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1.1U机柜式、电源开关防触碰设计；双层双色双拼前面板。</w:t>
            </w:r>
          </w:p>
          <w:p w14:paraId="151201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10个输入通道:包括4路XLR、TRS二合一接口话筒(MIC)输入，1路TRS接口强切话筒(MIC)输入，3路标准信号线路(AUX)输入，2路紧急线路(EMC)输入。（要求提供第三方检验检测机构出具的此内容的检测报告（报告须有CNAS章）复印件，加盖生产企业公章）</w:t>
            </w:r>
          </w:p>
          <w:p w14:paraId="6B1884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3.≥2路线路输出，可接入下一台功放或其它音频设备输入接口。</w:t>
            </w:r>
          </w:p>
          <w:p w14:paraId="5FEB14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4.MIC 1具有钟声提示开关，点击可发出钟声提醒。</w:t>
            </w:r>
          </w:p>
          <w:p w14:paraId="4F068A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5.话筒接口带+48V幻象电源带有独立幻象电源开关，为电容话筒提供电源。</w:t>
            </w:r>
          </w:p>
          <w:p w14:paraId="4A3CB6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6.话筒输入：5mV/600Ω 非平衡</w:t>
            </w:r>
          </w:p>
          <w:p w14:paraId="20008B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7.辅助输入：3500mV/10KΩ 非平衡</w:t>
            </w:r>
          </w:p>
          <w:p w14:paraId="24CE20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8.紧急话筒输入：5mV-25mV/600Ω 非平衡</w:t>
            </w:r>
          </w:p>
          <w:p w14:paraId="5F17F6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9.紧急线路输入：200mV-1000mV/10KΩ 非平衡</w:t>
            </w:r>
          </w:p>
          <w:p w14:paraId="2A3A3D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10.音频输出：10KΩ，0-6V非平衡</w:t>
            </w:r>
          </w:p>
          <w:p w14:paraId="73AB7D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11.输出静噪：≤3mV</w:t>
            </w:r>
          </w:p>
          <w:p w14:paraId="630869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12.频率响应：20Hz-20KHz</w:t>
            </w:r>
          </w:p>
          <w:p w14:paraId="5D400C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13.信噪比：MIC 输入：50dB AUX输入：80dB</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D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6D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2A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38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4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0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无线一拖二手持话筒</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BA4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yellow"/>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1.U段无线话筒，采用真分集设计，内置天线放大器，频率范围在UHF640-690MHz之间。具有自动默音、自动待机、自动关机、话筒落地自动感应静音和啸叫抑制等功能。</w:t>
            </w:r>
          </w:p>
          <w:p w14:paraId="7F74384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2.支持自动扫频功能，可自动寻找环境最干净的频点作为接收机的使用频率。</w:t>
            </w:r>
          </w:p>
          <w:p w14:paraId="40C26B3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3.设有LCD动态液晶显示屏，可实时显示话筒在线、掉频状态，音量指示、通道、频率等信息。</w:t>
            </w:r>
          </w:p>
          <w:p w14:paraId="2F6667E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4.支持单通道平衡输出及6.35非平衡混合输出，适用不同传输距离场合，可自由选择连接。</w:t>
            </w:r>
          </w:p>
          <w:p w14:paraId="0001732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5.手持麦克风，内置LCD显示屏，可用于显示频道和电池电量信息，电池低压闪烁至1.8V自动关机。</w:t>
            </w:r>
          </w:p>
          <w:p w14:paraId="13D8CE6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6.双通道设计，每通道具有≥32个频率选择，≥64个可调频点，易于操作。</w:t>
            </w:r>
          </w:p>
          <w:p w14:paraId="6EBE10B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7.空旷条件下≥300米使用范围，复杂环境下≥150米使用距离。</w:t>
            </w:r>
          </w:p>
          <w:p w14:paraId="2384127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8.配套有≥1台接收主机，≥2个手持话筒。</w:t>
            </w:r>
          </w:p>
          <w:p w14:paraId="515F972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9.频率范围：640-690MHz</w:t>
            </w:r>
          </w:p>
          <w:p w14:paraId="34887DF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10.可调范围：≥60MHz</w:t>
            </w:r>
          </w:p>
          <w:p w14:paraId="6BEA4CB8">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11.信道范围：≥300</w:t>
            </w:r>
          </w:p>
          <w:p w14:paraId="2A33F2E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12.频率稳定度：±0.005%以内</w:t>
            </w:r>
          </w:p>
          <w:p w14:paraId="2338580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13.动态范围：&gt;105Db</w:t>
            </w:r>
          </w:p>
          <w:p w14:paraId="1AD95B72">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14.最大频偏：±45KHz</w:t>
            </w:r>
          </w:p>
          <w:p w14:paraId="442CA147">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15.音频响应：30Hz-18KHz（±3dB）</w:t>
            </w:r>
          </w:p>
          <w:p w14:paraId="0FCDFEC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16.综合S/N比：&gt;115dB</w:t>
            </w:r>
          </w:p>
          <w:p w14:paraId="3AA609E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17.综合失真：&lt;0.2%</w:t>
            </w:r>
          </w:p>
          <w:p w14:paraId="10E6EAE1">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▲18.要求所投产品具有“无线电发射设备型号核准证”证书，提供证书复制件并加盖生产企业公章，证书编号网上可查询；</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4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8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00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3CB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67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天线分配器系统</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03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UHF天线分配系统，</w:t>
            </w:r>
            <w:r>
              <w:rPr>
                <w:rFonts w:hint="eastAsia" w:ascii="宋体" w:hAnsi="宋体" w:eastAsia="宋体" w:cs="宋体"/>
                <w:i w:val="0"/>
                <w:iCs w:val="0"/>
                <w:color w:val="auto"/>
                <w:sz w:val="18"/>
                <w:szCs w:val="18"/>
                <w:highlight w:val="none"/>
                <w:u w:val="none"/>
                <w:lang w:val="en-US" w:eastAsia="zh-CN"/>
              </w:rPr>
              <w:t>可</w:t>
            </w:r>
            <w:r>
              <w:rPr>
                <w:rFonts w:hint="eastAsia" w:ascii="宋体" w:hAnsi="宋体" w:eastAsia="宋体" w:cs="宋体"/>
                <w:i w:val="0"/>
                <w:iCs w:val="0"/>
                <w:color w:val="auto"/>
                <w:sz w:val="18"/>
                <w:szCs w:val="18"/>
                <w:highlight w:val="none"/>
                <w:u w:val="none"/>
              </w:rPr>
              <w:t>通过将一对天线拆分给无线接收机来扩展无线话筒系统的功能；</w:t>
            </w:r>
          </w:p>
          <w:p w14:paraId="43F6FC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2</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一台分配器主机能为≥4台双天线的接收机提供信号，或能为≥2台四天线的接收机提供信号；</w:t>
            </w:r>
          </w:p>
          <w:p w14:paraId="022E44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3</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具有级联端口能够连接到第五个接收机或第二台分配器；</w:t>
            </w:r>
          </w:p>
          <w:p w14:paraId="10A4C6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4</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具有≥4组能够输出为无线接收机UHF系统供电的电源接口。</w:t>
            </w:r>
          </w:p>
          <w:p w14:paraId="17F29B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5</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天线使用对数周期偶极子阵列提供增强的接收能力；</w:t>
            </w:r>
          </w:p>
          <w:p w14:paraId="499A68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6</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支持母线BNC类型接头，拥有≥12个BNC接口，接收频率范围470-952MHz；</w:t>
            </w:r>
          </w:p>
          <w:p w14:paraId="62D27D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7</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两点增益选择开关可选择3或10分贝增益；</w:t>
            </w:r>
          </w:p>
          <w:p w14:paraId="72D890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8</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定向天线板配合带有螺纹的集成式支架，可固定在话筒支架上，也可将其悬挂在天花板或墙壁上；</w:t>
            </w:r>
          </w:p>
          <w:p w14:paraId="24035B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9</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在户外使用不受天气影响。</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7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AF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5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F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DCA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E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6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NTP 时间服务器</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2670">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设备采用冗余架构设计，直接来源于北斗、GPS 系统（双模）或者只接收北斗系统中各个卫星的原子钟，通过信号解析驯服本地时钟源，实现卫星信号丢失后本地时钟精准保持功能。</w:t>
            </w:r>
          </w:p>
          <w:p w14:paraId="06C2240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rPr>
              <w:t>含</w:t>
            </w:r>
            <w:r>
              <w:rPr>
                <w:rFonts w:hint="eastAsia" w:ascii="宋体" w:hAnsi="宋体" w:eastAsia="宋体" w:cs="宋体"/>
                <w:i w:val="0"/>
                <w:iCs w:val="0"/>
                <w:color w:val="auto"/>
                <w:sz w:val="18"/>
                <w:szCs w:val="18"/>
                <w:highlight w:val="none"/>
                <w:u w:val="none"/>
                <w:lang w:val="en-US" w:eastAsia="zh-CN"/>
              </w:rPr>
              <w:t>10米蘑菇头</w:t>
            </w:r>
          </w:p>
          <w:p w14:paraId="2372A60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sz w:val="18"/>
                <w:szCs w:val="18"/>
                <w:highlight w:val="yellow"/>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z w:val="18"/>
                <w:szCs w:val="18"/>
                <w:highlight w:val="none"/>
                <w:u w:val="none"/>
                <w:lang w:val="en-US" w:eastAsia="zh-CN"/>
              </w:rPr>
              <w:t>3.</w:t>
            </w:r>
            <w:r>
              <w:rPr>
                <w:rFonts w:hint="default" w:ascii="宋体" w:hAnsi="宋体" w:eastAsia="宋体" w:cs="宋体"/>
                <w:i w:val="0"/>
                <w:iCs w:val="0"/>
                <w:color w:val="auto"/>
                <w:sz w:val="18"/>
                <w:szCs w:val="18"/>
                <w:highlight w:val="none"/>
                <w:u w:val="none"/>
                <w:lang w:val="en-US" w:eastAsia="zh-CN"/>
              </w:rPr>
              <w:t>设备内电容器的放电</w:t>
            </w:r>
            <w:r>
              <w:rPr>
                <w:rFonts w:hint="eastAsia" w:ascii="宋体" w:hAnsi="宋体" w:eastAsia="宋体" w:cs="宋体"/>
                <w:i w:val="0"/>
                <w:iCs w:val="0"/>
                <w:color w:val="auto"/>
                <w:sz w:val="18"/>
                <w:szCs w:val="18"/>
                <w:highlight w:val="none"/>
                <w:u w:val="none"/>
                <w:lang w:val="en-US" w:eastAsia="zh-CN"/>
              </w:rPr>
              <w:t>,开关稳压电源通过CCC认证.</w:t>
            </w:r>
            <w:r>
              <w:rPr>
                <w:rFonts w:hint="eastAsia" w:ascii="宋体" w:hAnsi="宋体" w:eastAsia="宋体" w:cs="宋体"/>
                <w:i w:val="0"/>
                <w:iCs w:val="0"/>
                <w:color w:val="auto"/>
                <w:kern w:val="0"/>
                <w:sz w:val="18"/>
                <w:szCs w:val="18"/>
                <w:highlight w:val="none"/>
                <w:u w:val="none"/>
                <w:lang w:val="en-US" w:eastAsia="zh-CN" w:bidi="ar"/>
              </w:rPr>
              <w:t>（投标时要求提供中国合格评定国家认可委员会（CNAS）认可的第三方检验检测机构出具的此内容的检测报告（报告须有CNAS章）复印件，加盖生产企业公章）</w:t>
            </w:r>
          </w:p>
          <w:p w14:paraId="410075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rPr>
              <w:t>可同步数万台客户端、服务器和工作站等设备时钟。</w:t>
            </w:r>
          </w:p>
          <w:p w14:paraId="3FE4EA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5.4</w:t>
            </w:r>
            <w:r>
              <w:rPr>
                <w:rFonts w:hint="eastAsia" w:ascii="宋体" w:hAnsi="宋体" w:eastAsia="宋体" w:cs="宋体"/>
                <w:i w:val="0"/>
                <w:iCs w:val="0"/>
                <w:color w:val="auto"/>
                <w:sz w:val="18"/>
                <w:szCs w:val="18"/>
                <w:highlight w:val="none"/>
                <w:u w:val="none"/>
              </w:rPr>
              <w:t>路 NTP 网口可选，方便网络配置和改建。</w:t>
            </w:r>
          </w:p>
          <w:p w14:paraId="2B13BB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6.</w:t>
            </w:r>
            <w:r>
              <w:rPr>
                <w:rFonts w:hint="eastAsia" w:ascii="宋体" w:hAnsi="宋体" w:eastAsia="宋体" w:cs="宋体"/>
                <w:i w:val="0"/>
                <w:iCs w:val="0"/>
                <w:color w:val="auto"/>
                <w:sz w:val="18"/>
                <w:szCs w:val="18"/>
                <w:highlight w:val="none"/>
                <w:u w:val="none"/>
              </w:rPr>
              <w:t>支持 GPS 和北斗卫星授时（双模）或者单北斗系统授时，获取可靠安全的时间。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F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B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27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41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649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B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5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广播音柱</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2F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采用铝镁合金制作的外壳，可抵挡日晒、风吹、雨淋。</w:t>
            </w:r>
          </w:p>
          <w:p w14:paraId="6BCBEC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2</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适用于室内外各种环境之中。</w:t>
            </w:r>
          </w:p>
          <w:p w14:paraId="38EA21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3</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额定功率：≥90W</w:t>
            </w:r>
          </w:p>
          <w:p w14:paraId="58D023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4</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输入：100V</w:t>
            </w:r>
          </w:p>
          <w:p w14:paraId="1EB880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5</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阻抗：110Ω</w:t>
            </w:r>
          </w:p>
          <w:p w14:paraId="04BD7F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6</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灵敏度：≥98dB</w:t>
            </w:r>
          </w:p>
          <w:p w14:paraId="1E3F23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7</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频率响应：50Hz-18KHz</w:t>
            </w:r>
          </w:p>
          <w:p w14:paraId="5FEFC8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8</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喇叭单元：≥5.25"×3 3"×1</w:t>
            </w:r>
          </w:p>
          <w:p w14:paraId="7410C6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9</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防护等级：≥IPX6防水</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F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F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6C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EA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71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0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F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数字定压功放</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94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1U机柜式、电源开关防触碰设计；双层双色双拼前面板，采用隐藏式条形出气口及弧形进风口设计</w:t>
            </w:r>
            <w:r>
              <w:rPr>
                <w:rFonts w:hint="eastAsia" w:ascii="宋体" w:hAnsi="宋体" w:eastAsia="宋体" w:cs="宋体"/>
                <w:i w:val="0"/>
                <w:iCs w:val="0"/>
                <w:color w:val="auto"/>
                <w:sz w:val="18"/>
                <w:szCs w:val="18"/>
                <w:highlight w:val="none"/>
                <w:u w:val="none"/>
                <w:lang w:eastAsia="zh-CN"/>
              </w:rPr>
              <w:t>。</w:t>
            </w:r>
          </w:p>
          <w:p w14:paraId="3E5F4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2</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D类功率放大电路设计，损耗小具备90%以上的放大效率。</w:t>
            </w:r>
          </w:p>
          <w:p w14:paraId="522D7A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3</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具有≥4路音源输入，其中2路标准线路信号，1路标准话筒信号,1路报警信号。</w:t>
            </w:r>
          </w:p>
          <w:p w14:paraId="2580A1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4</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具有≥2个音量调节旋钮，其中1个线路调节，1个话筒调节。</w:t>
            </w:r>
          </w:p>
          <w:p w14:paraId="067F8B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5</w:t>
            </w:r>
            <w:r>
              <w:rPr>
                <w:rFonts w:hint="eastAsia" w:ascii="宋体" w:hAnsi="宋体" w:eastAsia="宋体" w:cs="宋体"/>
                <w:i w:val="0"/>
                <w:iCs w:val="0"/>
                <w:color w:val="auto"/>
                <w:sz w:val="18"/>
                <w:szCs w:val="18"/>
                <w:highlight w:val="none"/>
                <w:u w:val="none"/>
                <w:lang w:val="en-US" w:eastAsia="zh-CN"/>
              </w:rPr>
              <w:t>.</w:t>
            </w:r>
            <w:r>
              <w:rPr>
                <w:rFonts w:hint="eastAsia" w:ascii="宋体" w:hAnsi="宋体" w:eastAsia="宋体" w:cs="宋体"/>
                <w:i w:val="0"/>
                <w:iCs w:val="0"/>
                <w:color w:val="auto"/>
                <w:sz w:val="18"/>
                <w:szCs w:val="18"/>
                <w:highlight w:val="none"/>
                <w:u w:val="none"/>
              </w:rPr>
              <w:t>具有≥1路音源输出，可环接至下一台功放音频输入接口。</w:t>
            </w:r>
          </w:p>
          <w:p w14:paraId="6B23F6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6.</w:t>
            </w:r>
            <w:r>
              <w:rPr>
                <w:rFonts w:hint="eastAsia" w:ascii="宋体" w:hAnsi="宋体" w:eastAsia="宋体" w:cs="宋体"/>
                <w:i w:val="0"/>
                <w:iCs w:val="0"/>
                <w:color w:val="auto"/>
                <w:sz w:val="18"/>
                <w:szCs w:val="18"/>
                <w:highlight w:val="none"/>
                <w:u w:val="none"/>
              </w:rPr>
              <w:t>内置≥800W定阻（4-16Ω）/定压（70V/100V）功率输出，支持外接音箱。</w:t>
            </w:r>
          </w:p>
          <w:p w14:paraId="272543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7.</w:t>
            </w:r>
            <w:r>
              <w:rPr>
                <w:rFonts w:hint="eastAsia" w:ascii="宋体" w:hAnsi="宋体" w:eastAsia="宋体" w:cs="宋体"/>
                <w:i w:val="0"/>
                <w:iCs w:val="0"/>
                <w:color w:val="auto"/>
                <w:sz w:val="18"/>
                <w:szCs w:val="18"/>
                <w:highlight w:val="none"/>
                <w:u w:val="none"/>
              </w:rPr>
              <w:t>工作状态≥6个信号灯实时指示，一目了然。</w:t>
            </w:r>
          </w:p>
          <w:p w14:paraId="142FEF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8.</w:t>
            </w:r>
            <w:r>
              <w:rPr>
                <w:rFonts w:hint="eastAsia" w:ascii="宋体" w:hAnsi="宋体" w:eastAsia="宋体" w:cs="宋体"/>
                <w:i w:val="0"/>
                <w:iCs w:val="0"/>
                <w:color w:val="auto"/>
                <w:sz w:val="18"/>
                <w:szCs w:val="18"/>
                <w:highlight w:val="none"/>
                <w:u w:val="none"/>
              </w:rPr>
              <w:t>输入灵敏度/阻抗：MIC:25mV/600Ω，不平衡TRS端子输入；AUX:350mV/10KΩ，不平衡RCA端子输入</w:t>
            </w:r>
          </w:p>
          <w:p w14:paraId="4E26D4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lang w:val="en-US" w:eastAsia="zh-CN"/>
              </w:rPr>
              <w:t>9.</w:t>
            </w:r>
            <w:r>
              <w:rPr>
                <w:rFonts w:hint="eastAsia" w:ascii="宋体" w:hAnsi="宋体" w:eastAsia="宋体" w:cs="宋体"/>
                <w:i w:val="0"/>
                <w:iCs w:val="0"/>
                <w:color w:val="auto"/>
                <w:sz w:val="18"/>
                <w:szCs w:val="18"/>
                <w:highlight w:val="none"/>
                <w:u w:val="none"/>
              </w:rPr>
              <w:t>输出灵敏度/阻抗：1000mV/470Ω，不平衡RCA端子输入</w:t>
            </w:r>
          </w:p>
          <w:p w14:paraId="24501F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0.</w:t>
            </w:r>
            <w:r>
              <w:rPr>
                <w:rFonts w:hint="eastAsia" w:ascii="宋体" w:hAnsi="宋体" w:eastAsia="宋体" w:cs="宋体"/>
                <w:i w:val="0"/>
                <w:iCs w:val="0"/>
                <w:color w:val="auto"/>
                <w:sz w:val="18"/>
                <w:szCs w:val="18"/>
                <w:highlight w:val="none"/>
                <w:u w:val="none"/>
              </w:rPr>
              <w:t>过载源电动势：MIC:＞12dB，不平衡TRS端子输入；AUX:＞20dB，不平衡RCA端子输入</w:t>
            </w:r>
          </w:p>
          <w:p w14:paraId="015C3F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1.</w:t>
            </w:r>
            <w:r>
              <w:rPr>
                <w:rFonts w:hint="eastAsia" w:ascii="宋体" w:hAnsi="宋体" w:eastAsia="宋体" w:cs="宋体"/>
                <w:i w:val="0"/>
                <w:iCs w:val="0"/>
                <w:color w:val="auto"/>
                <w:sz w:val="18"/>
                <w:szCs w:val="18"/>
                <w:highlight w:val="none"/>
                <w:u w:val="none"/>
              </w:rPr>
              <w:t>频率响应：50-16KHz(+1dB，-3dB)</w:t>
            </w:r>
          </w:p>
          <w:p w14:paraId="4BA4A8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2.</w:t>
            </w:r>
            <w:r>
              <w:rPr>
                <w:rFonts w:hint="eastAsia" w:ascii="宋体" w:hAnsi="宋体" w:eastAsia="宋体" w:cs="宋体"/>
                <w:i w:val="0"/>
                <w:iCs w:val="0"/>
                <w:color w:val="auto"/>
                <w:sz w:val="18"/>
                <w:szCs w:val="18"/>
                <w:highlight w:val="none"/>
                <w:u w:val="none"/>
              </w:rPr>
              <w:t>信噪比：MIC，66dB；AUX，80dB</w:t>
            </w:r>
          </w:p>
          <w:p w14:paraId="12D7A0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3.</w:t>
            </w:r>
            <w:r>
              <w:rPr>
                <w:rFonts w:hint="eastAsia" w:ascii="宋体" w:hAnsi="宋体" w:eastAsia="宋体" w:cs="宋体"/>
                <w:i w:val="0"/>
                <w:iCs w:val="0"/>
                <w:color w:val="auto"/>
                <w:sz w:val="18"/>
                <w:szCs w:val="18"/>
                <w:highlight w:val="none"/>
                <w:u w:val="none"/>
              </w:rPr>
              <w:t>总谐波失真：1KHz时0.5%，1/3输出功率</w:t>
            </w:r>
          </w:p>
          <w:p w14:paraId="24F425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4.</w:t>
            </w:r>
            <w:r>
              <w:rPr>
                <w:rFonts w:hint="eastAsia" w:ascii="宋体" w:hAnsi="宋体" w:eastAsia="宋体" w:cs="宋体"/>
                <w:i w:val="0"/>
                <w:iCs w:val="0"/>
                <w:color w:val="auto"/>
                <w:sz w:val="18"/>
                <w:szCs w:val="18"/>
                <w:highlight w:val="none"/>
                <w:u w:val="none"/>
              </w:rPr>
              <w:t>默音功能：MIC优先其他通道</w:t>
            </w:r>
          </w:p>
          <w:p w14:paraId="546305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1</w:t>
            </w:r>
            <w:r>
              <w:rPr>
                <w:rFonts w:hint="eastAsia" w:ascii="宋体" w:hAnsi="宋体" w:eastAsia="宋体" w:cs="宋体"/>
                <w:i w:val="0"/>
                <w:iCs w:val="0"/>
                <w:color w:val="auto"/>
                <w:sz w:val="18"/>
                <w:szCs w:val="18"/>
                <w:highlight w:val="none"/>
                <w:u w:val="none"/>
                <w:lang w:val="en-US" w:eastAsia="zh-CN"/>
              </w:rPr>
              <w:t>5.</w:t>
            </w:r>
            <w:r>
              <w:rPr>
                <w:rFonts w:hint="eastAsia" w:ascii="宋体" w:hAnsi="宋体" w:eastAsia="宋体" w:cs="宋体"/>
                <w:i w:val="0"/>
                <w:iCs w:val="0"/>
                <w:color w:val="auto"/>
                <w:sz w:val="18"/>
                <w:szCs w:val="18"/>
                <w:highlight w:val="none"/>
                <w:u w:val="none"/>
              </w:rPr>
              <w:t>通道串音衰减：≤50dB</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4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3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0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A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99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5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F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线材及配件</w:t>
            </w:r>
          </w:p>
        </w:tc>
        <w:tc>
          <w:tcPr>
            <w:tcW w:w="4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52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L-A2R1.8音频线、RVVP2*2.5电源线、PVC管、附材</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0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B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751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39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423FD9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color w:val="auto"/>
                <w:kern w:val="0"/>
                <w:sz w:val="24"/>
                <w:szCs w:val="24"/>
                <w:highlight w:val="none"/>
                <w:lang w:bidi="ar"/>
              </w:rPr>
              <w:t>合计金额（小写）：</w:t>
            </w:r>
          </w:p>
        </w:tc>
        <w:tc>
          <w:tcPr>
            <w:tcW w:w="2441"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7589A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color w:val="auto"/>
                <w:kern w:val="0"/>
                <w:sz w:val="24"/>
                <w:szCs w:val="24"/>
                <w:highlight w:val="none"/>
                <w:lang w:bidi="ar"/>
              </w:rPr>
            </w:pPr>
          </w:p>
        </w:tc>
      </w:tr>
      <w:tr w14:paraId="7D79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6396"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31FE81B">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color w:val="auto"/>
                <w:kern w:val="0"/>
                <w:sz w:val="24"/>
                <w:szCs w:val="24"/>
                <w:highlight w:val="none"/>
                <w:lang w:bidi="ar"/>
              </w:rPr>
              <w:t>合计金额（大写）：</w:t>
            </w:r>
          </w:p>
        </w:tc>
        <w:tc>
          <w:tcPr>
            <w:tcW w:w="2441"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0C22FB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b/>
                <w:bCs/>
                <w:color w:val="auto"/>
                <w:kern w:val="0"/>
                <w:sz w:val="24"/>
                <w:szCs w:val="24"/>
                <w:highlight w:val="none"/>
                <w:lang w:bidi="ar"/>
              </w:rPr>
            </w:pPr>
          </w:p>
        </w:tc>
      </w:tr>
    </w:tbl>
    <w:p w14:paraId="6B1C0471">
      <w:pPr>
        <w:spacing w:line="240" w:lineRule="auto"/>
        <w:ind w:firstLine="420" w:firstLineChars="200"/>
        <w:rPr>
          <w:rFonts w:hint="default" w:asciiTheme="minorEastAsia" w:hAnsiTheme="minorEastAsia" w:eastAsiaTheme="minorEastAsia"/>
          <w:color w:val="auto"/>
          <w:sz w:val="28"/>
          <w:szCs w:val="28"/>
          <w:u w:val="single"/>
          <w:lang w:val="en-US" w:eastAsia="zh-CN"/>
        </w:rPr>
      </w:pPr>
      <w:r>
        <w:rPr>
          <w:rFonts w:ascii="宋体" w:hAnsi="宋体" w:eastAsia="宋体"/>
          <w:color w:val="auto"/>
          <w:sz w:val="21"/>
          <w:szCs w:val="21"/>
          <w:highlight w:val="none"/>
        </w:rPr>
        <w:t>注：</w:t>
      </w:r>
      <w:r>
        <w:rPr>
          <w:rFonts w:hint="eastAsia" w:ascii="宋体" w:hAnsi="宋体" w:eastAsia="宋体"/>
          <w:color w:val="auto"/>
          <w:sz w:val="21"/>
          <w:szCs w:val="21"/>
          <w:highlight w:val="none"/>
        </w:rPr>
        <w:t>以上所有项目报价均包括本项目采购需求和投入使用的所有费用，包括但不限于材料、运输、安装、税款及伴随服务在内等费用。投标人不得对报价表的格式和内容进行修改</w:t>
      </w:r>
      <w:r>
        <w:rPr>
          <w:rFonts w:hint="eastAsia" w:ascii="宋体" w:hAnsi="宋体" w:eastAsia="宋体"/>
          <w:color w:val="auto"/>
          <w:sz w:val="21"/>
          <w:szCs w:val="21"/>
          <w:highlight w:val="none"/>
          <w:lang w:eastAsia="zh-CN"/>
        </w:rPr>
        <w:t>。</w:t>
      </w:r>
    </w:p>
    <w:sectPr>
      <w:pgSz w:w="11906" w:h="16838"/>
      <w:pgMar w:top="1814" w:right="1559" w:bottom="1814" w:left="158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5ED2"/>
    <w:multiLevelType w:val="singleLevel"/>
    <w:tmpl w:val="86E25ED2"/>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zEzMGZiNTFiZmU5NDVmNmEyNmNiYmU2OTAyYmEifQ=="/>
  </w:docVars>
  <w:rsids>
    <w:rsidRoot w:val="00DB26D3"/>
    <w:rsid w:val="00015248"/>
    <w:rsid w:val="00025F74"/>
    <w:rsid w:val="00054AE8"/>
    <w:rsid w:val="00057FCF"/>
    <w:rsid w:val="000616E7"/>
    <w:rsid w:val="0006419E"/>
    <w:rsid w:val="000661A1"/>
    <w:rsid w:val="00076414"/>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1F2A23"/>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6F37"/>
    <w:rsid w:val="002F2585"/>
    <w:rsid w:val="002F40F9"/>
    <w:rsid w:val="003230E6"/>
    <w:rsid w:val="00324D75"/>
    <w:rsid w:val="00325F80"/>
    <w:rsid w:val="00326E3D"/>
    <w:rsid w:val="00332EAA"/>
    <w:rsid w:val="00337CEF"/>
    <w:rsid w:val="00374EB0"/>
    <w:rsid w:val="0039383A"/>
    <w:rsid w:val="003B2E73"/>
    <w:rsid w:val="003C6FA4"/>
    <w:rsid w:val="003D0E85"/>
    <w:rsid w:val="003F371D"/>
    <w:rsid w:val="003F5E38"/>
    <w:rsid w:val="004028EA"/>
    <w:rsid w:val="004072EB"/>
    <w:rsid w:val="00414888"/>
    <w:rsid w:val="00415910"/>
    <w:rsid w:val="00416FB1"/>
    <w:rsid w:val="00426D72"/>
    <w:rsid w:val="00433DA9"/>
    <w:rsid w:val="00442147"/>
    <w:rsid w:val="00474E90"/>
    <w:rsid w:val="00485684"/>
    <w:rsid w:val="0049254B"/>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34CD2"/>
    <w:rsid w:val="00647274"/>
    <w:rsid w:val="00656251"/>
    <w:rsid w:val="0066246C"/>
    <w:rsid w:val="0066524B"/>
    <w:rsid w:val="00665C87"/>
    <w:rsid w:val="00672E68"/>
    <w:rsid w:val="00674B0C"/>
    <w:rsid w:val="006846F1"/>
    <w:rsid w:val="00692568"/>
    <w:rsid w:val="006A6C40"/>
    <w:rsid w:val="006C2538"/>
    <w:rsid w:val="006C733E"/>
    <w:rsid w:val="006D7408"/>
    <w:rsid w:val="006F519C"/>
    <w:rsid w:val="00704856"/>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5AA2"/>
    <w:rsid w:val="00847044"/>
    <w:rsid w:val="008554B7"/>
    <w:rsid w:val="00866FC5"/>
    <w:rsid w:val="00880064"/>
    <w:rsid w:val="008826B0"/>
    <w:rsid w:val="00882FC8"/>
    <w:rsid w:val="00896EB6"/>
    <w:rsid w:val="00897CAE"/>
    <w:rsid w:val="008A20BB"/>
    <w:rsid w:val="008A5149"/>
    <w:rsid w:val="008B3A61"/>
    <w:rsid w:val="008B60E9"/>
    <w:rsid w:val="008C04F4"/>
    <w:rsid w:val="008C379D"/>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0B96"/>
    <w:rsid w:val="00A146C1"/>
    <w:rsid w:val="00A16864"/>
    <w:rsid w:val="00A2739E"/>
    <w:rsid w:val="00A35103"/>
    <w:rsid w:val="00A4438C"/>
    <w:rsid w:val="00A63E97"/>
    <w:rsid w:val="00A7017F"/>
    <w:rsid w:val="00A749C6"/>
    <w:rsid w:val="00A74F93"/>
    <w:rsid w:val="00A81938"/>
    <w:rsid w:val="00A863B1"/>
    <w:rsid w:val="00AA5C02"/>
    <w:rsid w:val="00AB233D"/>
    <w:rsid w:val="00AB3D4F"/>
    <w:rsid w:val="00AC622A"/>
    <w:rsid w:val="00AD5731"/>
    <w:rsid w:val="00AE20BF"/>
    <w:rsid w:val="00B03A61"/>
    <w:rsid w:val="00B06D2D"/>
    <w:rsid w:val="00B14DED"/>
    <w:rsid w:val="00B24050"/>
    <w:rsid w:val="00B3556A"/>
    <w:rsid w:val="00B47254"/>
    <w:rsid w:val="00B633FF"/>
    <w:rsid w:val="00B75907"/>
    <w:rsid w:val="00B87395"/>
    <w:rsid w:val="00B947E4"/>
    <w:rsid w:val="00BB08A2"/>
    <w:rsid w:val="00BC2BBF"/>
    <w:rsid w:val="00BC450B"/>
    <w:rsid w:val="00BE627B"/>
    <w:rsid w:val="00C128D1"/>
    <w:rsid w:val="00C26C0C"/>
    <w:rsid w:val="00C318F9"/>
    <w:rsid w:val="00C32309"/>
    <w:rsid w:val="00C324C1"/>
    <w:rsid w:val="00C34133"/>
    <w:rsid w:val="00C45186"/>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E75EF"/>
    <w:rsid w:val="00CF1255"/>
    <w:rsid w:val="00CF6789"/>
    <w:rsid w:val="00D0689F"/>
    <w:rsid w:val="00D10B68"/>
    <w:rsid w:val="00D35B00"/>
    <w:rsid w:val="00D378F4"/>
    <w:rsid w:val="00D403D5"/>
    <w:rsid w:val="00D4141A"/>
    <w:rsid w:val="00D4273C"/>
    <w:rsid w:val="00D4637C"/>
    <w:rsid w:val="00D57072"/>
    <w:rsid w:val="00D63113"/>
    <w:rsid w:val="00D72B4C"/>
    <w:rsid w:val="00D82B82"/>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B71D4"/>
    <w:rsid w:val="00EB7259"/>
    <w:rsid w:val="00EC77D6"/>
    <w:rsid w:val="00ED0A64"/>
    <w:rsid w:val="00EE2F9C"/>
    <w:rsid w:val="00EE4E23"/>
    <w:rsid w:val="00EF5DA5"/>
    <w:rsid w:val="00F15A75"/>
    <w:rsid w:val="00F36D06"/>
    <w:rsid w:val="00F374A9"/>
    <w:rsid w:val="00F74B66"/>
    <w:rsid w:val="00F827C0"/>
    <w:rsid w:val="00F82F18"/>
    <w:rsid w:val="00F87540"/>
    <w:rsid w:val="00FA03D0"/>
    <w:rsid w:val="00FB7815"/>
    <w:rsid w:val="00FC1E1C"/>
    <w:rsid w:val="00FD0439"/>
    <w:rsid w:val="00FD74BD"/>
    <w:rsid w:val="011937D7"/>
    <w:rsid w:val="013D6ECC"/>
    <w:rsid w:val="01432AB8"/>
    <w:rsid w:val="016C735A"/>
    <w:rsid w:val="01C369FF"/>
    <w:rsid w:val="021D673F"/>
    <w:rsid w:val="02376007"/>
    <w:rsid w:val="02E13061"/>
    <w:rsid w:val="03FB03BA"/>
    <w:rsid w:val="04155CF9"/>
    <w:rsid w:val="05137986"/>
    <w:rsid w:val="05EA06E6"/>
    <w:rsid w:val="066A3568"/>
    <w:rsid w:val="06C13B3D"/>
    <w:rsid w:val="074F1C14"/>
    <w:rsid w:val="08395955"/>
    <w:rsid w:val="083B791F"/>
    <w:rsid w:val="09BC683E"/>
    <w:rsid w:val="09E35B78"/>
    <w:rsid w:val="0A870BFA"/>
    <w:rsid w:val="0B3D40F9"/>
    <w:rsid w:val="0B8B64C8"/>
    <w:rsid w:val="0BB16C0D"/>
    <w:rsid w:val="0C9D4705"/>
    <w:rsid w:val="0CA43CE5"/>
    <w:rsid w:val="0CE51C08"/>
    <w:rsid w:val="0D9308B1"/>
    <w:rsid w:val="0DD203DE"/>
    <w:rsid w:val="0E655FF4"/>
    <w:rsid w:val="0EF5494D"/>
    <w:rsid w:val="0F6E2388"/>
    <w:rsid w:val="0F9B0CA3"/>
    <w:rsid w:val="108654B0"/>
    <w:rsid w:val="11586E4C"/>
    <w:rsid w:val="11F254F3"/>
    <w:rsid w:val="125F420A"/>
    <w:rsid w:val="12E60488"/>
    <w:rsid w:val="132A0CBC"/>
    <w:rsid w:val="133A194D"/>
    <w:rsid w:val="144162BD"/>
    <w:rsid w:val="14BA7E1E"/>
    <w:rsid w:val="14CF1941"/>
    <w:rsid w:val="15C45FB5"/>
    <w:rsid w:val="15CC7E09"/>
    <w:rsid w:val="15CE3B81"/>
    <w:rsid w:val="1606156C"/>
    <w:rsid w:val="166E7112"/>
    <w:rsid w:val="16FE2244"/>
    <w:rsid w:val="173043C7"/>
    <w:rsid w:val="177E5132"/>
    <w:rsid w:val="17A003D1"/>
    <w:rsid w:val="17E011EC"/>
    <w:rsid w:val="1AA2738A"/>
    <w:rsid w:val="1B2C6EFE"/>
    <w:rsid w:val="1B656384"/>
    <w:rsid w:val="1BBB0703"/>
    <w:rsid w:val="1C0320AA"/>
    <w:rsid w:val="1C146065"/>
    <w:rsid w:val="1CAE286A"/>
    <w:rsid w:val="1D552DD9"/>
    <w:rsid w:val="1F2F61BA"/>
    <w:rsid w:val="20250841"/>
    <w:rsid w:val="20407429"/>
    <w:rsid w:val="216B588D"/>
    <w:rsid w:val="219809E7"/>
    <w:rsid w:val="231057D9"/>
    <w:rsid w:val="23B86660"/>
    <w:rsid w:val="251C6FE8"/>
    <w:rsid w:val="25EE3C83"/>
    <w:rsid w:val="26523E0B"/>
    <w:rsid w:val="270C62B7"/>
    <w:rsid w:val="27370504"/>
    <w:rsid w:val="27E64D5A"/>
    <w:rsid w:val="282D0A05"/>
    <w:rsid w:val="28757E8C"/>
    <w:rsid w:val="287610F2"/>
    <w:rsid w:val="28C17575"/>
    <w:rsid w:val="28F33BD2"/>
    <w:rsid w:val="29255D3F"/>
    <w:rsid w:val="2A5A1A2F"/>
    <w:rsid w:val="2BF33EE9"/>
    <w:rsid w:val="2C1A1476"/>
    <w:rsid w:val="2CCE2260"/>
    <w:rsid w:val="2CF77A09"/>
    <w:rsid w:val="2E725599"/>
    <w:rsid w:val="2E913546"/>
    <w:rsid w:val="2E9B6172"/>
    <w:rsid w:val="2F1033AF"/>
    <w:rsid w:val="2F184319"/>
    <w:rsid w:val="2F230642"/>
    <w:rsid w:val="2F560A17"/>
    <w:rsid w:val="2F5678E2"/>
    <w:rsid w:val="2F7075FF"/>
    <w:rsid w:val="304545E8"/>
    <w:rsid w:val="3062163D"/>
    <w:rsid w:val="312406A1"/>
    <w:rsid w:val="31F14A27"/>
    <w:rsid w:val="326E6078"/>
    <w:rsid w:val="327949DB"/>
    <w:rsid w:val="329527C4"/>
    <w:rsid w:val="336B25B7"/>
    <w:rsid w:val="339733AC"/>
    <w:rsid w:val="34871673"/>
    <w:rsid w:val="35A47211"/>
    <w:rsid w:val="36433DB0"/>
    <w:rsid w:val="36F37429"/>
    <w:rsid w:val="37697448"/>
    <w:rsid w:val="37916477"/>
    <w:rsid w:val="37A70B41"/>
    <w:rsid w:val="37C14E9C"/>
    <w:rsid w:val="37CC5FFF"/>
    <w:rsid w:val="38877E93"/>
    <w:rsid w:val="394A24FE"/>
    <w:rsid w:val="39EC3D26"/>
    <w:rsid w:val="3B200C2B"/>
    <w:rsid w:val="3BB30F9F"/>
    <w:rsid w:val="3BD07BC5"/>
    <w:rsid w:val="3D0221DE"/>
    <w:rsid w:val="3D2302BD"/>
    <w:rsid w:val="3D820D35"/>
    <w:rsid w:val="3DF6314E"/>
    <w:rsid w:val="3EAC4692"/>
    <w:rsid w:val="3EEF0E02"/>
    <w:rsid w:val="3F414312"/>
    <w:rsid w:val="3F7647BE"/>
    <w:rsid w:val="3FA02105"/>
    <w:rsid w:val="3FE71217"/>
    <w:rsid w:val="40324B88"/>
    <w:rsid w:val="403501D5"/>
    <w:rsid w:val="41176CA6"/>
    <w:rsid w:val="41487A27"/>
    <w:rsid w:val="414A7CB0"/>
    <w:rsid w:val="41652D3C"/>
    <w:rsid w:val="421F113C"/>
    <w:rsid w:val="422717EC"/>
    <w:rsid w:val="44BB3202"/>
    <w:rsid w:val="44E92939"/>
    <w:rsid w:val="452B7DF8"/>
    <w:rsid w:val="45A2455E"/>
    <w:rsid w:val="45AF4585"/>
    <w:rsid w:val="45B32B96"/>
    <w:rsid w:val="462A6302"/>
    <w:rsid w:val="463D7DE3"/>
    <w:rsid w:val="463F587B"/>
    <w:rsid w:val="47176106"/>
    <w:rsid w:val="47E25B2F"/>
    <w:rsid w:val="48013092"/>
    <w:rsid w:val="48A451D7"/>
    <w:rsid w:val="49172B6D"/>
    <w:rsid w:val="49862D98"/>
    <w:rsid w:val="49880984"/>
    <w:rsid w:val="4ABD5996"/>
    <w:rsid w:val="4B3B22B5"/>
    <w:rsid w:val="4B5A49AF"/>
    <w:rsid w:val="4B5A4F93"/>
    <w:rsid w:val="4B7E1315"/>
    <w:rsid w:val="4BA165D8"/>
    <w:rsid w:val="4CB66289"/>
    <w:rsid w:val="4D2E2B7B"/>
    <w:rsid w:val="4E4C249D"/>
    <w:rsid w:val="4E7445BE"/>
    <w:rsid w:val="4F277882"/>
    <w:rsid w:val="50A373DC"/>
    <w:rsid w:val="50C559D1"/>
    <w:rsid w:val="52CD24EF"/>
    <w:rsid w:val="54770964"/>
    <w:rsid w:val="54CC5154"/>
    <w:rsid w:val="54D538DD"/>
    <w:rsid w:val="54ED0C26"/>
    <w:rsid w:val="554F7B33"/>
    <w:rsid w:val="559612BE"/>
    <w:rsid w:val="566B44F9"/>
    <w:rsid w:val="56E46059"/>
    <w:rsid w:val="570A5ABF"/>
    <w:rsid w:val="573B036F"/>
    <w:rsid w:val="58DE3CD2"/>
    <w:rsid w:val="58ED5699"/>
    <w:rsid w:val="59202368"/>
    <w:rsid w:val="59CC2ED5"/>
    <w:rsid w:val="5A405C9C"/>
    <w:rsid w:val="5A5A0B0C"/>
    <w:rsid w:val="5A9F79EB"/>
    <w:rsid w:val="5AD00BDA"/>
    <w:rsid w:val="5BAC2376"/>
    <w:rsid w:val="5C090A3C"/>
    <w:rsid w:val="5C473312"/>
    <w:rsid w:val="5C675762"/>
    <w:rsid w:val="5DA730B3"/>
    <w:rsid w:val="5DBE5856"/>
    <w:rsid w:val="5DE66B5A"/>
    <w:rsid w:val="5DF73A74"/>
    <w:rsid w:val="5F182D44"/>
    <w:rsid w:val="5F6366B5"/>
    <w:rsid w:val="5FCC685A"/>
    <w:rsid w:val="61113EEE"/>
    <w:rsid w:val="612B3202"/>
    <w:rsid w:val="62092E18"/>
    <w:rsid w:val="62964807"/>
    <w:rsid w:val="636D5D54"/>
    <w:rsid w:val="63BC1693"/>
    <w:rsid w:val="63BC45E5"/>
    <w:rsid w:val="63F0428F"/>
    <w:rsid w:val="63FA4E6D"/>
    <w:rsid w:val="64095351"/>
    <w:rsid w:val="646A5DEF"/>
    <w:rsid w:val="64796C23"/>
    <w:rsid w:val="64ED07CF"/>
    <w:rsid w:val="657D7D46"/>
    <w:rsid w:val="6635242D"/>
    <w:rsid w:val="667E2026"/>
    <w:rsid w:val="67943D7F"/>
    <w:rsid w:val="67C47F0C"/>
    <w:rsid w:val="685E5C6B"/>
    <w:rsid w:val="694D1C85"/>
    <w:rsid w:val="69AA3A1D"/>
    <w:rsid w:val="6A45604E"/>
    <w:rsid w:val="6AE461D0"/>
    <w:rsid w:val="6B8A6D77"/>
    <w:rsid w:val="6C093ADB"/>
    <w:rsid w:val="6C353187"/>
    <w:rsid w:val="6CC77B56"/>
    <w:rsid w:val="6D0914F3"/>
    <w:rsid w:val="6E7F2DDF"/>
    <w:rsid w:val="6E8D5E4E"/>
    <w:rsid w:val="6E8E6B7E"/>
    <w:rsid w:val="6FDB4045"/>
    <w:rsid w:val="707D334E"/>
    <w:rsid w:val="719E532A"/>
    <w:rsid w:val="71A1505D"/>
    <w:rsid w:val="71A31C23"/>
    <w:rsid w:val="721101F2"/>
    <w:rsid w:val="72A20870"/>
    <w:rsid w:val="72A96873"/>
    <w:rsid w:val="72DB435C"/>
    <w:rsid w:val="73221F8B"/>
    <w:rsid w:val="74166A67"/>
    <w:rsid w:val="7447614D"/>
    <w:rsid w:val="750C6A4F"/>
    <w:rsid w:val="755155B5"/>
    <w:rsid w:val="763B583E"/>
    <w:rsid w:val="764C17F9"/>
    <w:rsid w:val="766A25B4"/>
    <w:rsid w:val="78E5461C"/>
    <w:rsid w:val="790A14F7"/>
    <w:rsid w:val="79C63670"/>
    <w:rsid w:val="7A401675"/>
    <w:rsid w:val="7B2C39A7"/>
    <w:rsid w:val="7B6E5D6D"/>
    <w:rsid w:val="7CE86856"/>
    <w:rsid w:val="7D366D5F"/>
    <w:rsid w:val="7D637428"/>
    <w:rsid w:val="7D6F541A"/>
    <w:rsid w:val="7E0D3F64"/>
    <w:rsid w:val="7EC56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2"/>
    <w:basedOn w:val="1"/>
    <w:next w:val="1"/>
    <w:qFormat/>
    <w:uiPriority w:val="0"/>
    <w:pPr>
      <w:keepNext/>
      <w:keepLines/>
      <w:spacing w:before="0" w:beforeLines="0" w:line="600" w:lineRule="exact"/>
      <w:ind w:left="0" w:right="0" w:firstLine="0" w:firstLineChars="0"/>
      <w:jc w:val="left"/>
      <w:outlineLvl w:val="1"/>
    </w:pPr>
    <w:rPr>
      <w:b/>
      <w:sz w:val="32"/>
      <w:szCs w:val="32"/>
    </w:rPr>
  </w:style>
  <w:style w:type="paragraph" w:styleId="3">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semiHidden/>
    <w:unhideWhenUsed/>
    <w:qFormat/>
    <w:uiPriority w:val="99"/>
    <w:pPr>
      <w:jc w:val="left"/>
    </w:pPr>
  </w:style>
  <w:style w:type="paragraph" w:styleId="5">
    <w:name w:val="Body Text"/>
    <w:basedOn w:val="1"/>
    <w:link w:val="34"/>
    <w:semiHidden/>
    <w:unhideWhenUsed/>
    <w:qFormat/>
    <w:uiPriority w:val="99"/>
    <w:pPr>
      <w:spacing w:after="120"/>
    </w:pPr>
  </w:style>
  <w:style w:type="paragraph" w:styleId="6">
    <w:name w:val="Body Text Indent"/>
    <w:basedOn w:val="5"/>
    <w:link w:val="32"/>
    <w:unhideWhenUsed/>
    <w:qFormat/>
    <w:uiPriority w:val="99"/>
    <w:pPr>
      <w:ind w:left="420" w:leftChars="200"/>
    </w:pPr>
  </w:style>
  <w:style w:type="paragraph" w:styleId="7">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8">
    <w:name w:val="Plain Text"/>
    <w:basedOn w:val="1"/>
    <w:link w:val="19"/>
    <w:qFormat/>
    <w:uiPriority w:val="0"/>
    <w:rPr>
      <w:rFonts w:ascii="宋体" w:hAnsi="Courier New" w:eastAsia="宋体" w:cstheme="minorBidi"/>
      <w:sz w:val="21"/>
      <w:szCs w:val="22"/>
    </w:r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after="150"/>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宋体"/>
      <w:b/>
      <w:bCs/>
      <w:sz w:val="32"/>
      <w:szCs w:val="32"/>
    </w:rPr>
  </w:style>
  <w:style w:type="paragraph" w:styleId="14">
    <w:name w:val="Body Text First Indent 2"/>
    <w:basedOn w:val="6"/>
    <w:link w:val="33"/>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character" w:customStyle="1" w:styleId="19">
    <w:name w:val="纯文本 Char"/>
    <w:link w:val="8"/>
    <w:qFormat/>
    <w:uiPriority w:val="0"/>
    <w:rPr>
      <w:rFonts w:ascii="宋体" w:hAnsi="Courier New" w:eastAsia="宋体"/>
    </w:rPr>
  </w:style>
  <w:style w:type="paragraph" w:customStyle="1" w:styleId="20">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1">
    <w:name w:val="纯文本 Char1"/>
    <w:basedOn w:val="17"/>
    <w:qFormat/>
    <w:uiPriority w:val="0"/>
    <w:rPr>
      <w:rFonts w:ascii="宋体" w:hAnsi="Courier New" w:eastAsia="宋体" w:cs="Courier New"/>
      <w:szCs w:val="21"/>
    </w:rPr>
  </w:style>
  <w:style w:type="character" w:customStyle="1" w:styleId="22">
    <w:name w:val="页眉 Char"/>
    <w:basedOn w:val="17"/>
    <w:link w:val="11"/>
    <w:qFormat/>
    <w:uiPriority w:val="99"/>
    <w:rPr>
      <w:rFonts w:ascii="Times New Roman" w:hAnsi="Times New Roman" w:eastAsia="仿宋_GB2312" w:cs="Times New Roman"/>
      <w:sz w:val="18"/>
      <w:szCs w:val="18"/>
    </w:rPr>
  </w:style>
  <w:style w:type="character" w:customStyle="1" w:styleId="23">
    <w:name w:val="页脚 Char"/>
    <w:basedOn w:val="17"/>
    <w:link w:val="10"/>
    <w:qFormat/>
    <w:uiPriority w:val="0"/>
    <w:rPr>
      <w:rFonts w:ascii="Times New Roman" w:hAnsi="Times New Roman" w:eastAsia="仿宋_GB2312" w:cs="Times New Roman"/>
      <w:sz w:val="18"/>
      <w:szCs w:val="18"/>
    </w:rPr>
  </w:style>
  <w:style w:type="paragraph" w:styleId="24">
    <w:name w:val="List Paragraph"/>
    <w:basedOn w:val="1"/>
    <w:link w:val="25"/>
    <w:unhideWhenUsed/>
    <w:qFormat/>
    <w:uiPriority w:val="34"/>
    <w:pPr>
      <w:ind w:firstLine="420" w:firstLineChars="200"/>
    </w:pPr>
    <w:rPr>
      <w:rFonts w:ascii="Calibri" w:hAnsi="Calibri" w:eastAsia="宋体"/>
      <w:sz w:val="21"/>
      <w:szCs w:val="22"/>
    </w:rPr>
  </w:style>
  <w:style w:type="character" w:customStyle="1" w:styleId="25">
    <w:name w:val="列出段落 Char"/>
    <w:link w:val="24"/>
    <w:qFormat/>
    <w:uiPriority w:val="34"/>
    <w:rPr>
      <w:rFonts w:ascii="Calibri" w:hAnsi="Calibri" w:eastAsia="宋体" w:cs="Times New Roman"/>
    </w:rPr>
  </w:style>
  <w:style w:type="paragraph" w:customStyle="1" w:styleId="26">
    <w:name w:val="样式 标题 3H3l3CT标题222Bold Headbhlevel_3PIM 3Level 3 Heads..."/>
    <w:basedOn w:val="3"/>
    <w:link w:val="27"/>
    <w:qFormat/>
    <w:uiPriority w:val="0"/>
    <w:pPr>
      <w:jc w:val="left"/>
    </w:pPr>
    <w:rPr>
      <w:rFonts w:ascii="宋体" w:hAnsi="宋体" w:eastAsia="黑体"/>
      <w:color w:val="000000"/>
      <w:sz w:val="24"/>
    </w:rPr>
  </w:style>
  <w:style w:type="character" w:customStyle="1" w:styleId="27">
    <w:name w:val="样式 标题 3H3l3CT标题222Bold Headbhlevel_3PIM 3Level 3 Heads... Char"/>
    <w:link w:val="26"/>
    <w:qFormat/>
    <w:uiPriority w:val="0"/>
    <w:rPr>
      <w:rFonts w:ascii="宋体" w:hAnsi="宋体" w:eastAsia="黑体" w:cs="Times New Roman"/>
      <w:b/>
      <w:bCs/>
      <w:color w:val="000000"/>
      <w:sz w:val="24"/>
      <w:szCs w:val="32"/>
    </w:rPr>
  </w:style>
  <w:style w:type="character" w:customStyle="1" w:styleId="28">
    <w:name w:val="标题 Char"/>
    <w:basedOn w:val="17"/>
    <w:link w:val="13"/>
    <w:qFormat/>
    <w:uiPriority w:val="0"/>
    <w:rPr>
      <w:rFonts w:ascii="Cambria" w:hAnsi="Cambria" w:eastAsia="宋体" w:cs="Times New Roman"/>
      <w:b/>
      <w:bCs/>
      <w:sz w:val="32"/>
      <w:szCs w:val="32"/>
    </w:rPr>
  </w:style>
  <w:style w:type="character" w:customStyle="1" w:styleId="29">
    <w:name w:val="标题 3 Char"/>
    <w:basedOn w:val="17"/>
    <w:link w:val="3"/>
    <w:semiHidden/>
    <w:qFormat/>
    <w:uiPriority w:val="9"/>
    <w:rPr>
      <w:rFonts w:ascii="Times New Roman" w:hAnsi="Times New Roman" w:eastAsia="仿宋_GB2312" w:cs="Times New Roman"/>
      <w:b/>
      <w:bCs/>
      <w:sz w:val="32"/>
      <w:szCs w:val="32"/>
    </w:rPr>
  </w:style>
  <w:style w:type="character" w:customStyle="1" w:styleId="30">
    <w:name w:val="批注框文本 Char"/>
    <w:basedOn w:val="17"/>
    <w:link w:val="9"/>
    <w:semiHidden/>
    <w:qFormat/>
    <w:uiPriority w:val="99"/>
    <w:rPr>
      <w:rFonts w:ascii="Times New Roman" w:hAnsi="Times New Roman" w:eastAsia="仿宋_GB2312" w:cs="Times New Roman"/>
      <w:sz w:val="18"/>
      <w:szCs w:val="18"/>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正文文本缩进 Char"/>
    <w:basedOn w:val="17"/>
    <w:link w:val="6"/>
    <w:qFormat/>
    <w:uiPriority w:val="99"/>
    <w:rPr>
      <w:rFonts w:ascii="Times New Roman" w:hAnsi="Times New Roman" w:eastAsia="仿宋_GB2312" w:cs="Times New Roman"/>
      <w:sz w:val="30"/>
      <w:szCs w:val="20"/>
    </w:rPr>
  </w:style>
  <w:style w:type="character" w:customStyle="1" w:styleId="33">
    <w:name w:val="正文首行缩进 2 Char"/>
    <w:basedOn w:val="32"/>
    <w:link w:val="14"/>
    <w:qFormat/>
    <w:uiPriority w:val="0"/>
    <w:rPr>
      <w:rFonts w:ascii="仿宋_GB2312" w:hAnsi="Times New Roman" w:eastAsia="仿宋_GB2312" w:cs="Times New Roman"/>
      <w:kern w:val="0"/>
      <w:sz w:val="28"/>
      <w:szCs w:val="20"/>
    </w:rPr>
  </w:style>
  <w:style w:type="character" w:customStyle="1" w:styleId="34">
    <w:name w:val="正文文本 Char"/>
    <w:basedOn w:val="17"/>
    <w:link w:val="5"/>
    <w:semiHidden/>
    <w:qFormat/>
    <w:uiPriority w:val="99"/>
    <w:rPr>
      <w:rFonts w:ascii="Times New Roman" w:hAnsi="Times New Roman" w:eastAsia="仿宋_GB2312" w:cs="Times New Roman"/>
      <w:sz w:val="30"/>
      <w:szCs w:val="20"/>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批注文字 Char"/>
    <w:basedOn w:val="17"/>
    <w:link w:val="4"/>
    <w:semiHidden/>
    <w:qFormat/>
    <w:uiPriority w:val="99"/>
    <w:rPr>
      <w:rFonts w:ascii="Times New Roman" w:hAnsi="Times New Roman" w:eastAsia="仿宋_GB2312" w:cs="Times New Roman"/>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1840</Words>
  <Characters>2016</Characters>
  <Lines>55</Lines>
  <Paragraphs>15</Paragraphs>
  <TotalTime>43</TotalTime>
  <ScaleCrop>false</ScaleCrop>
  <LinksUpToDate>false</LinksUpToDate>
  <CharactersWithSpaces>2025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2024-11-29T03:13:00Z</dcterms:created>
  <dc:creator>admin</dc:creator>
  <cp:lastModifiedBy>LITTLE LOVE</cp:lastModifiedBy>
  <cp:lastPrinted>2021-05-16T08:35:00Z</cp:lastPrinted>
  <dcterms:modified xsi:type="dcterms:W3CDTF">2026-01-20T13:03:16Z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3F7314C92AEF4D1FAD934CC158F0780F_13</vt:lpwstr>
  </property>
  <property fmtid="{D5CDD505-2E9C-101B-9397-08002B2CF9AE}" pid="4" name="KSOTemplateDocerSaveRecord">
    <vt:lpwstr>eyJoZGlkIjoiYmU1YzQxOTgxMWZjYWI0NTJkYWFiOTI4MGU0ODkyNTQiLCJ1c2VySWQiOiI3Njc2NTUxMTAifQ==</vt:lpwstr>
  </property>
</Properties>
</file>