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DA67C">
      <w:pPr>
        <w:widowControl/>
        <w:spacing w:line="600" w:lineRule="exact"/>
        <w:jc w:val="center"/>
        <w:rPr>
          <w:rFonts w:cs="Helvetica" w:asciiTheme="minorEastAsia" w:hAnsiTheme="minorEastAsia" w:eastAsiaTheme="minorEastAsia"/>
          <w:b/>
          <w:color w:val="000000" w:themeColor="text1"/>
          <w:kern w:val="0"/>
          <w:sz w:val="36"/>
          <w:szCs w:val="36"/>
          <w14:textFill>
            <w14:solidFill>
              <w14:schemeClr w14:val="tx1"/>
            </w14:solidFill>
          </w14:textFill>
        </w:rPr>
      </w:pPr>
      <w:bookmarkStart w:id="0" w:name="_Toc12355_WPSOffice_Level1"/>
      <w:r>
        <w:rPr>
          <w:rFonts w:hint="eastAsia" w:cs="Helvetica" w:asciiTheme="minorEastAsia" w:hAnsiTheme="minorEastAsia" w:eastAsiaTheme="minorEastAsia"/>
          <w:b/>
          <w:color w:val="000000" w:themeColor="text1"/>
          <w:kern w:val="0"/>
          <w:sz w:val="36"/>
          <w:szCs w:val="36"/>
          <w14:textFill>
            <w14:solidFill>
              <w14:schemeClr w14:val="tx1"/>
            </w14:solidFill>
          </w14:textFill>
        </w:rPr>
        <w:t>江门市技师学院</w:t>
      </w:r>
    </w:p>
    <w:p w14:paraId="17769193">
      <w:pPr>
        <w:widowControl/>
        <w:spacing w:line="600" w:lineRule="exact"/>
        <w:jc w:val="center"/>
        <w:rPr>
          <w:rFonts w:cs="Helvetica" w:asciiTheme="minorEastAsia" w:hAnsiTheme="minorEastAsia" w:eastAsiaTheme="minorEastAsia"/>
          <w:b/>
          <w:color w:val="000000" w:themeColor="text1"/>
          <w:kern w:val="0"/>
          <w:sz w:val="36"/>
          <w:szCs w:val="36"/>
          <w14:textFill>
            <w14:solidFill>
              <w14:schemeClr w14:val="tx1"/>
            </w14:solidFill>
          </w14:textFill>
        </w:rPr>
      </w:pPr>
      <w:r>
        <w:rPr>
          <w:rFonts w:hint="eastAsia" w:cs="Helvetica" w:asciiTheme="minorEastAsia" w:hAnsiTheme="minorEastAsia" w:eastAsiaTheme="minorEastAsia"/>
          <w:b/>
          <w:color w:val="000000" w:themeColor="text1"/>
          <w:kern w:val="0"/>
          <w:sz w:val="36"/>
          <w:szCs w:val="36"/>
          <w14:textFill>
            <w14:solidFill>
              <w14:schemeClr w14:val="tx1"/>
            </w14:solidFill>
          </w14:textFill>
        </w:rPr>
        <w:t>两校区单双杠体育设施建设项目需求书</w:t>
      </w:r>
    </w:p>
    <w:p w14:paraId="41BC1A59">
      <w:pPr>
        <w:widowControl/>
        <w:spacing w:line="600" w:lineRule="exact"/>
        <w:jc w:val="center"/>
        <w:rPr>
          <w:rFonts w:cs="宋体" w:asciiTheme="minorEastAsia" w:hAnsiTheme="minorEastAsia" w:eastAsiaTheme="minorEastAsia"/>
          <w:b/>
          <w:bCs/>
          <w:kern w:val="0"/>
          <w:szCs w:val="30"/>
        </w:rPr>
      </w:pPr>
      <w:r>
        <w:rPr>
          <w:rFonts w:hint="eastAsia" w:cs="宋体" w:asciiTheme="minorEastAsia" w:hAnsiTheme="minorEastAsia" w:eastAsiaTheme="minorEastAsia"/>
          <w:b/>
          <w:bCs/>
          <w:kern w:val="0"/>
          <w:szCs w:val="30"/>
        </w:rPr>
        <w:t>第一章 用户需求书</w:t>
      </w:r>
      <w:bookmarkEnd w:id="0"/>
    </w:p>
    <w:p w14:paraId="3397F110">
      <w:pPr>
        <w:widowControl/>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一、项目基本情况</w:t>
      </w:r>
    </w:p>
    <w:tbl>
      <w:tblPr>
        <w:tblStyle w:val="14"/>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92"/>
        <w:gridCol w:w="2492"/>
        <w:gridCol w:w="2492"/>
        <w:gridCol w:w="2492"/>
      </w:tblGrid>
      <w:tr w14:paraId="668377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466AADB0">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项目名称</w:t>
            </w:r>
          </w:p>
        </w:tc>
        <w:tc>
          <w:tcPr>
            <w:tcW w:w="2492" w:type="dxa"/>
            <w:vAlign w:val="center"/>
          </w:tcPr>
          <w:p w14:paraId="7E360AEF">
            <w:pPr>
              <w:spacing w:line="360" w:lineRule="auto"/>
              <w:jc w:val="center"/>
              <w:rPr>
                <w:rFonts w:cs="宋体" w:asciiTheme="minorEastAsia" w:hAnsiTheme="minorEastAsia" w:eastAsiaTheme="minorEastAsia"/>
                <w:bCs/>
                <w:color w:val="000000" w:themeColor="text1"/>
                <w:kern w:val="0"/>
                <w:sz w:val="24"/>
                <w:szCs w:val="24"/>
                <w14:textFill>
                  <w14:solidFill>
                    <w14:schemeClr w14:val="tx1"/>
                  </w14:solidFill>
                </w14:textFill>
              </w:rPr>
            </w:pPr>
            <w:r>
              <w:rPr>
                <w:rFonts w:hint="eastAsia" w:cs="宋体" w:asciiTheme="minorEastAsia" w:hAnsiTheme="minorEastAsia" w:eastAsiaTheme="minorEastAsia"/>
                <w:bCs/>
                <w:kern w:val="0"/>
                <w:sz w:val="24"/>
                <w:szCs w:val="24"/>
              </w:rPr>
              <w:t>江门市技师学院两校区单双杠体育设施建设项目</w:t>
            </w:r>
          </w:p>
        </w:tc>
        <w:tc>
          <w:tcPr>
            <w:tcW w:w="2492" w:type="dxa"/>
            <w:vAlign w:val="center"/>
          </w:tcPr>
          <w:p w14:paraId="71C11153">
            <w:pPr>
              <w:spacing w:line="360" w:lineRule="auto"/>
              <w:jc w:val="center"/>
              <w:rPr>
                <w:rFonts w:cs="宋体" w:asciiTheme="minorEastAsia" w:hAnsiTheme="minorEastAsia" w:eastAsiaTheme="minorEastAsia"/>
                <w:bCs/>
                <w:kern w:val="0"/>
                <w:sz w:val="24"/>
                <w:szCs w:val="24"/>
              </w:rPr>
            </w:pPr>
            <w:r>
              <w:rPr>
                <w:rFonts w:hint="eastAsia" w:ascii="宋体" w:hAnsi="宋体" w:eastAsia="宋体" w:cs="宋体"/>
                <w:sz w:val="24"/>
                <w:szCs w:val="24"/>
              </w:rPr>
              <w:t>项目编号</w:t>
            </w:r>
          </w:p>
        </w:tc>
        <w:tc>
          <w:tcPr>
            <w:tcW w:w="2492" w:type="dxa"/>
            <w:vAlign w:val="center"/>
          </w:tcPr>
          <w:p w14:paraId="725B5B36">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lang w:val="en-US" w:eastAsia="zh-CN"/>
              </w:rPr>
              <w:t>j</w:t>
            </w:r>
            <w:r>
              <w:rPr>
                <w:rFonts w:hint="eastAsia" w:cs="宋体" w:asciiTheme="minorEastAsia" w:hAnsiTheme="minorEastAsia" w:eastAsiaTheme="minorEastAsia"/>
                <w:bCs/>
                <w:kern w:val="0"/>
                <w:sz w:val="24"/>
                <w:szCs w:val="24"/>
              </w:rPr>
              <w:t>wb-cgzx-2025-59</w:t>
            </w:r>
          </w:p>
        </w:tc>
      </w:tr>
      <w:tr w14:paraId="484F68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32DCCDA7">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采购预算/最高限价</w:t>
            </w:r>
          </w:p>
        </w:tc>
        <w:tc>
          <w:tcPr>
            <w:tcW w:w="2492" w:type="dxa"/>
            <w:vAlign w:val="center"/>
          </w:tcPr>
          <w:p w14:paraId="31CFF8D8">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40000元</w:t>
            </w:r>
          </w:p>
        </w:tc>
        <w:tc>
          <w:tcPr>
            <w:tcW w:w="2492" w:type="dxa"/>
            <w:vAlign w:val="center"/>
          </w:tcPr>
          <w:p w14:paraId="02C6E71A">
            <w:pPr>
              <w:spacing w:line="360" w:lineRule="auto"/>
              <w:jc w:val="center"/>
              <w:rPr>
                <w:rFonts w:cs="宋体" w:asciiTheme="minorEastAsia" w:hAnsiTheme="minorEastAsia" w:eastAsiaTheme="minorEastAsia"/>
                <w:bCs/>
                <w:kern w:val="0"/>
                <w:sz w:val="24"/>
                <w:szCs w:val="24"/>
              </w:rPr>
            </w:pPr>
            <w:r>
              <w:rPr>
                <w:rFonts w:hint="eastAsia" w:ascii="宋体" w:hAnsi="宋体" w:eastAsia="宋体" w:cs="宋体"/>
                <w:sz w:val="24"/>
              </w:rPr>
              <w:t>履行期限</w:t>
            </w:r>
          </w:p>
        </w:tc>
        <w:tc>
          <w:tcPr>
            <w:tcW w:w="2492" w:type="dxa"/>
            <w:vAlign w:val="center"/>
          </w:tcPr>
          <w:p w14:paraId="4C2CE5DC">
            <w:pPr>
              <w:spacing w:line="360" w:lineRule="auto"/>
              <w:jc w:val="center"/>
              <w:rPr>
                <w:rFonts w:cs="宋体" w:asciiTheme="minorEastAsia" w:hAnsiTheme="minorEastAsia" w:eastAsiaTheme="minorEastAsia"/>
                <w:bCs/>
                <w:kern w:val="0"/>
                <w:sz w:val="24"/>
                <w:szCs w:val="24"/>
              </w:rPr>
            </w:pPr>
            <w:r>
              <w:rPr>
                <w:rFonts w:hint="eastAsia" w:ascii="宋体" w:hAnsi="宋体" w:eastAsia="宋体" w:cs="宋体"/>
                <w:sz w:val="24"/>
              </w:rPr>
              <w:t>合同签订生效之日起45</w:t>
            </w:r>
            <w:r>
              <w:rPr>
                <w:rFonts w:hint="eastAsia" w:ascii="宋体" w:hAnsi="宋体" w:eastAsia="宋体" w:cs="宋体"/>
                <w:color w:val="000000" w:themeColor="text1"/>
                <w:sz w:val="24"/>
                <w14:textFill>
                  <w14:solidFill>
                    <w14:schemeClr w14:val="tx1"/>
                  </w14:solidFill>
                </w14:textFill>
              </w:rPr>
              <w:t>个</w:t>
            </w:r>
            <w:r>
              <w:rPr>
                <w:rFonts w:hint="eastAsia" w:ascii="宋体" w:hAnsi="宋体" w:eastAsia="宋体" w:cs="宋体"/>
                <w:sz w:val="24"/>
              </w:rPr>
              <w:t>日历日内完成</w:t>
            </w:r>
          </w:p>
        </w:tc>
      </w:tr>
      <w:tr w14:paraId="03FBC1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581C3EEE">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评标办法</w:t>
            </w:r>
          </w:p>
        </w:tc>
        <w:tc>
          <w:tcPr>
            <w:tcW w:w="2492" w:type="dxa"/>
            <w:vAlign w:val="center"/>
          </w:tcPr>
          <w:p w14:paraId="269F63FF">
            <w:pPr>
              <w:spacing w:line="360" w:lineRule="auto"/>
              <w:jc w:val="center"/>
              <w:rPr>
                <w:rFonts w:cs="宋体" w:asciiTheme="minorEastAsia" w:hAnsiTheme="minorEastAsia" w:eastAsiaTheme="minorEastAsia"/>
                <w:bCs/>
                <w:color w:val="000000" w:themeColor="text1"/>
                <w:kern w:val="0"/>
                <w:sz w:val="24"/>
                <w:szCs w:val="24"/>
                <w14:textFill>
                  <w14:solidFill>
                    <w14:schemeClr w14:val="tx1"/>
                  </w14:solidFill>
                </w14:textFill>
              </w:rPr>
            </w:pPr>
            <w:r>
              <w:rPr>
                <w:rFonts w:hint="eastAsia" w:asciiTheme="minorEastAsia" w:hAnsiTheme="minorEastAsia" w:eastAsiaTheme="minorEastAsia"/>
                <w:kern w:val="28"/>
                <w:sz w:val="24"/>
                <w:szCs w:val="24"/>
              </w:rPr>
              <w:t>最低评标价法</w:t>
            </w:r>
          </w:p>
        </w:tc>
        <w:tc>
          <w:tcPr>
            <w:tcW w:w="2492" w:type="dxa"/>
            <w:vAlign w:val="center"/>
          </w:tcPr>
          <w:p w14:paraId="44F2B32B">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现场踏勘</w:t>
            </w:r>
          </w:p>
        </w:tc>
        <w:tc>
          <w:tcPr>
            <w:tcW w:w="2492" w:type="dxa"/>
            <w:vAlign w:val="center"/>
          </w:tcPr>
          <w:p w14:paraId="64521475">
            <w:pPr>
              <w:spacing w:line="360" w:lineRule="auto"/>
              <w:jc w:val="center"/>
              <w:rPr>
                <w:rFonts w:cs="宋体" w:asciiTheme="minorEastAsia" w:hAnsiTheme="minorEastAsia" w:eastAsiaTheme="minorEastAsia"/>
                <w:bCs/>
                <w:color w:val="000000" w:themeColor="text1"/>
                <w:kern w:val="0"/>
                <w:sz w:val="24"/>
                <w:szCs w:val="24"/>
                <w14:textFill>
                  <w14:solidFill>
                    <w14:schemeClr w14:val="tx1"/>
                  </w14:solidFill>
                </w14:textFill>
              </w:rPr>
            </w:pPr>
            <w:r>
              <w:rPr>
                <w:rFonts w:hint="eastAsia" w:cs="宋体" w:asciiTheme="minorEastAsia" w:hAnsiTheme="minorEastAsia" w:eastAsiaTheme="minorEastAsia"/>
                <w:bCs/>
                <w:color w:val="000000" w:themeColor="text1"/>
                <w:kern w:val="0"/>
                <w:sz w:val="24"/>
                <w:szCs w:val="24"/>
                <w14:textFill>
                  <w14:solidFill>
                    <w14:schemeClr w14:val="tx1"/>
                  </w14:solidFill>
                </w14:textFill>
              </w:rPr>
              <w:t>是</w:t>
            </w:r>
          </w:p>
        </w:tc>
      </w:tr>
      <w:tr w14:paraId="510EC6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1C3C5BD5">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联系人</w:t>
            </w:r>
          </w:p>
        </w:tc>
        <w:tc>
          <w:tcPr>
            <w:tcW w:w="2492" w:type="dxa"/>
            <w:vAlign w:val="center"/>
          </w:tcPr>
          <w:p w14:paraId="1C238427">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陈老师</w:t>
            </w:r>
          </w:p>
        </w:tc>
        <w:tc>
          <w:tcPr>
            <w:tcW w:w="2492" w:type="dxa"/>
            <w:vAlign w:val="center"/>
          </w:tcPr>
          <w:p w14:paraId="2119DB64">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联系电话</w:t>
            </w:r>
          </w:p>
        </w:tc>
        <w:tc>
          <w:tcPr>
            <w:tcW w:w="2492" w:type="dxa"/>
            <w:vAlign w:val="center"/>
          </w:tcPr>
          <w:p w14:paraId="2BAB08F6">
            <w:pPr>
              <w:spacing w:line="360" w:lineRule="auto"/>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0750-3728581</w:t>
            </w:r>
          </w:p>
        </w:tc>
      </w:tr>
    </w:tbl>
    <w:p w14:paraId="3BD63338">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二、投标人资格条件要求</w:t>
      </w:r>
    </w:p>
    <w:p w14:paraId="2AC7ED5D">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1.投标人应具备《中华人民共和国政府采购法》第二十二条规定的条件。</w:t>
      </w:r>
    </w:p>
    <w:p w14:paraId="0FE94788">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2.营业执照经营范围须与本项目相符。</w:t>
      </w:r>
    </w:p>
    <w:p w14:paraId="658EF86A">
      <w:pPr>
        <w:spacing w:line="360" w:lineRule="auto"/>
        <w:ind w:firstLine="560" w:firstLineChars="200"/>
        <w:rPr>
          <w:rFonts w:cs="宋体" w:asciiTheme="minorEastAsia" w:hAnsiTheme="minorEastAsia" w:eastAsiaTheme="minorEastAsia"/>
          <w:bCs/>
          <w:color w:val="000000" w:themeColor="text1"/>
          <w:kern w:val="0"/>
          <w:sz w:val="28"/>
          <w:szCs w:val="28"/>
          <w14:textFill>
            <w14:solidFill>
              <w14:schemeClr w14:val="tx1"/>
            </w14:solidFill>
          </w14:textFill>
        </w:rPr>
      </w:pPr>
      <w:r>
        <w:rPr>
          <w:rFonts w:hint="eastAsia" w:cs="宋体" w:asciiTheme="minorEastAsia" w:hAnsiTheme="minorEastAsia" w:eastAsiaTheme="minorEastAsia"/>
          <w:bCs/>
          <w:color w:val="000000" w:themeColor="text1"/>
          <w:kern w:val="0"/>
          <w:sz w:val="28"/>
          <w:szCs w:val="28"/>
          <w14:textFill>
            <w14:solidFill>
              <w14:schemeClr w14:val="tx1"/>
            </w14:solidFill>
          </w14:textFill>
        </w:rPr>
        <w:t>三、现场踏勘</w:t>
      </w:r>
    </w:p>
    <w:p w14:paraId="7011FBE8">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1.本项目在公示期内（节假日除外）</w:t>
      </w:r>
      <w:r>
        <w:rPr>
          <w:rFonts w:hint="eastAsia" w:cs="宋体" w:asciiTheme="minorEastAsia" w:hAnsiTheme="minorEastAsia" w:eastAsiaTheme="minorEastAsia"/>
          <w:b/>
          <w:bCs/>
          <w:kern w:val="0"/>
          <w:sz w:val="28"/>
          <w:szCs w:val="28"/>
        </w:rPr>
        <w:t>每天上午10：00～11：00时</w:t>
      </w:r>
      <w:r>
        <w:rPr>
          <w:rFonts w:hint="eastAsia" w:cs="宋体" w:asciiTheme="minorEastAsia" w:hAnsiTheme="minorEastAsia" w:eastAsiaTheme="minorEastAsia"/>
          <w:bCs/>
          <w:kern w:val="0"/>
          <w:sz w:val="28"/>
          <w:szCs w:val="28"/>
        </w:rPr>
        <w:t>（其他时段不受理）接受电话预约。业务联系人：陈老师 电话：0750-3882809。</w:t>
      </w:r>
    </w:p>
    <w:p w14:paraId="6A068B24">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2.投标人按约定时间在潮连校区校门口等待（江门市潮连环岛西路22号），由总务部工作人员带领现场勘察。</w:t>
      </w:r>
    </w:p>
    <w:p w14:paraId="547831EA">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四、技术要求</w:t>
      </w:r>
    </w:p>
    <w:p w14:paraId="49FBA0CC">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1.本工程为江门市技师学院两校区单双杠体育设施建设项目,投标人根据工程量清单（详见附件6）和项目需求书要求，结合单双杠安装平面图及主要材料样式图（详见附件5），制定切实可行的</w:t>
      </w:r>
      <w:r>
        <w:rPr>
          <w:rFonts w:cs="宋体" w:asciiTheme="minorEastAsia" w:hAnsiTheme="minorEastAsia" w:eastAsiaTheme="minorEastAsia"/>
          <w:bCs/>
          <w:kern w:val="0"/>
          <w:sz w:val="28"/>
          <w:szCs w:val="28"/>
        </w:rPr>
        <w:t>施工组织方案</w:t>
      </w:r>
      <w:r>
        <w:rPr>
          <w:rFonts w:hint="eastAsia" w:cs="宋体" w:asciiTheme="minorEastAsia" w:hAnsiTheme="minorEastAsia" w:eastAsiaTheme="minorEastAsia"/>
          <w:bCs/>
          <w:kern w:val="0"/>
          <w:sz w:val="28"/>
          <w:szCs w:val="28"/>
        </w:rPr>
        <w:t>。</w:t>
      </w:r>
    </w:p>
    <w:p w14:paraId="73D1CD8A">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2.承包范围：固定总价承包。按工程量清单所包含的范围，包施工、包材料、包机械、包质量、包工期、包安全、包安全文明施工、包建筑余泥清运、包环境卫生、包竣工验收等。</w:t>
      </w:r>
    </w:p>
    <w:p w14:paraId="7CBE86F8">
      <w:pPr>
        <w:spacing w:line="360" w:lineRule="auto"/>
        <w:ind w:firstLine="560" w:firstLineChars="200"/>
        <w:rPr>
          <w:rFonts w:cs="宋体" w:asciiTheme="minorEastAsia" w:hAnsiTheme="minorEastAsia" w:eastAsiaTheme="minorEastAsia"/>
          <w:bCs/>
          <w:kern w:val="0"/>
          <w:sz w:val="28"/>
          <w:szCs w:val="28"/>
          <w:highlight w:val="none"/>
        </w:rPr>
      </w:pPr>
      <w:r>
        <w:rPr>
          <w:rFonts w:hint="eastAsia" w:cs="宋体" w:asciiTheme="minorEastAsia" w:hAnsiTheme="minorEastAsia" w:eastAsiaTheme="minorEastAsia"/>
          <w:bCs/>
          <w:kern w:val="0"/>
          <w:sz w:val="28"/>
          <w:szCs w:val="28"/>
          <w:highlight w:val="none"/>
        </w:rPr>
        <w:t>3.其他要求：</w:t>
      </w:r>
    </w:p>
    <w:p w14:paraId="1C5109BC">
      <w:pPr>
        <w:spacing w:line="360" w:lineRule="auto"/>
        <w:ind w:firstLine="560" w:firstLineChars="200"/>
        <w:rPr>
          <w:rFonts w:cs="宋体" w:asciiTheme="minorEastAsia" w:hAnsiTheme="minorEastAsia" w:eastAsiaTheme="minorEastAsia"/>
          <w:bCs/>
          <w:kern w:val="0"/>
          <w:sz w:val="28"/>
          <w:szCs w:val="28"/>
          <w:highlight w:val="none"/>
        </w:rPr>
      </w:pPr>
      <w:r>
        <w:rPr>
          <w:rFonts w:hint="eastAsia" w:cs="宋体" w:asciiTheme="minorEastAsia" w:hAnsiTheme="minorEastAsia" w:eastAsiaTheme="minorEastAsia"/>
          <w:bCs/>
          <w:kern w:val="0"/>
          <w:sz w:val="28"/>
          <w:szCs w:val="28"/>
          <w:highlight w:val="none"/>
        </w:rPr>
        <w:t>1）施工前中标人须提供主要材料（如保护橡胶地垫、单双杠等）相关检测报告以证明所选材料达到环保或国标要求。</w:t>
      </w:r>
    </w:p>
    <w:p w14:paraId="15E69B4D">
      <w:pPr>
        <w:spacing w:line="360" w:lineRule="auto"/>
        <w:ind w:firstLine="560" w:firstLineChars="200"/>
        <w:rPr>
          <w:rFonts w:cs="宋体" w:asciiTheme="minorEastAsia" w:hAnsiTheme="minorEastAsia" w:eastAsiaTheme="minorEastAsia"/>
          <w:bCs/>
          <w:kern w:val="0"/>
          <w:sz w:val="28"/>
          <w:szCs w:val="28"/>
          <w:highlight w:val="none"/>
        </w:rPr>
      </w:pPr>
      <w:r>
        <w:rPr>
          <w:rFonts w:hint="eastAsia" w:cs="宋体" w:asciiTheme="minorEastAsia" w:hAnsiTheme="minorEastAsia" w:eastAsiaTheme="minorEastAsia"/>
          <w:bCs/>
          <w:kern w:val="0"/>
          <w:sz w:val="28"/>
          <w:szCs w:val="28"/>
          <w:highlight w:val="none"/>
        </w:rPr>
        <w:t>2）施工前中标人须提供保护橡胶地垫实物样品并附颜色板供采购人选择。</w:t>
      </w:r>
    </w:p>
    <w:p w14:paraId="077659B0">
      <w:pPr>
        <w:spacing w:line="360" w:lineRule="auto"/>
        <w:ind w:firstLine="560" w:firstLineChars="200"/>
        <w:rPr>
          <w:rFonts w:cs="宋体" w:asciiTheme="minorEastAsia" w:hAnsiTheme="minorEastAsia" w:eastAsiaTheme="minorEastAsia"/>
          <w:bCs/>
          <w:kern w:val="0"/>
          <w:sz w:val="28"/>
          <w:szCs w:val="28"/>
          <w:highlight w:val="none"/>
        </w:rPr>
      </w:pPr>
      <w:r>
        <w:rPr>
          <w:rFonts w:hint="eastAsia" w:cs="宋体" w:asciiTheme="minorEastAsia" w:hAnsiTheme="minorEastAsia" w:eastAsiaTheme="minorEastAsia"/>
          <w:bCs/>
          <w:kern w:val="0"/>
          <w:sz w:val="28"/>
          <w:szCs w:val="28"/>
          <w:highlight w:val="none"/>
        </w:rPr>
        <w:t>3）施工前中标人须提供单双杠实物图片供采购人确认。</w:t>
      </w:r>
    </w:p>
    <w:p w14:paraId="07BE91A6">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4）最终施工方案需得到采购人确认后方可施工。</w:t>
      </w:r>
    </w:p>
    <w:p w14:paraId="715E2266">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4.</w:t>
      </w:r>
      <w:r>
        <w:rPr>
          <w:rFonts w:hint="eastAsia" w:ascii="宋体" w:hAnsi="宋体" w:eastAsia="宋体" w:cs="宋体"/>
          <w:bCs/>
          <w:kern w:val="0"/>
          <w:sz w:val="28"/>
          <w:szCs w:val="28"/>
        </w:rPr>
        <w:t>工期：合同签订生效之日起</w:t>
      </w:r>
      <w:r>
        <w:rPr>
          <w:rFonts w:hint="eastAsia" w:ascii="宋体" w:hAnsi="宋体" w:eastAsia="宋体" w:cs="宋体"/>
          <w:bCs/>
          <w:color w:val="000000" w:themeColor="text1"/>
          <w:kern w:val="0"/>
          <w:sz w:val="28"/>
          <w:szCs w:val="28"/>
          <w14:textFill>
            <w14:solidFill>
              <w14:schemeClr w14:val="tx1"/>
            </w14:solidFill>
          </w14:textFill>
        </w:rPr>
        <w:t>45</w:t>
      </w:r>
      <w:r>
        <w:rPr>
          <w:rFonts w:hint="eastAsia" w:ascii="宋体" w:hAnsi="宋体" w:eastAsia="宋体" w:cs="宋体"/>
          <w:bCs/>
          <w:kern w:val="0"/>
          <w:sz w:val="28"/>
          <w:szCs w:val="28"/>
        </w:rPr>
        <w:t>个日历日内完成所有工作并通过验收。</w:t>
      </w:r>
    </w:p>
    <w:p w14:paraId="18B3BA7D">
      <w:pPr>
        <w:spacing w:line="360" w:lineRule="auto"/>
        <w:ind w:firstLine="560" w:firstLineChars="200"/>
        <w:rPr>
          <w:rFonts w:ascii="宋体" w:hAnsi="宋体" w:eastAsia="宋体" w:cs="宋体"/>
          <w:bCs/>
          <w:kern w:val="0"/>
          <w:sz w:val="28"/>
          <w:szCs w:val="28"/>
        </w:rPr>
      </w:pPr>
      <w:r>
        <w:rPr>
          <w:rFonts w:hint="eastAsia" w:cs="宋体" w:asciiTheme="minorEastAsia" w:hAnsiTheme="minorEastAsia" w:eastAsiaTheme="minorEastAsia"/>
          <w:bCs/>
          <w:kern w:val="0"/>
          <w:sz w:val="28"/>
          <w:szCs w:val="28"/>
        </w:rPr>
        <w:t>5.</w:t>
      </w:r>
      <w:r>
        <w:rPr>
          <w:rFonts w:hint="eastAsia" w:ascii="宋体" w:hAnsi="宋体" w:eastAsia="宋体" w:cs="宋体"/>
          <w:bCs/>
          <w:kern w:val="0"/>
          <w:sz w:val="28"/>
          <w:szCs w:val="28"/>
        </w:rPr>
        <w:t>质量标准：符合现行国家有关工程施工验收规范和标准的要求。</w:t>
      </w:r>
      <w:r>
        <w:rPr>
          <w:rFonts w:hint="eastAsia" w:cs="宋体" w:asciiTheme="minorEastAsia" w:hAnsiTheme="minorEastAsia" w:eastAsiaTheme="minorEastAsia"/>
          <w:bCs/>
          <w:kern w:val="0"/>
          <w:sz w:val="28"/>
          <w:szCs w:val="28"/>
        </w:rPr>
        <w:t>质量保修期不少于2年（人为损坏除外）。</w:t>
      </w:r>
    </w:p>
    <w:p w14:paraId="1592A0DA">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五、商务要求</w:t>
      </w:r>
    </w:p>
    <w:p w14:paraId="4EDDEDDA">
      <w:pPr>
        <w:spacing w:line="360" w:lineRule="auto"/>
        <w:ind w:firstLine="560" w:firstLineChars="200"/>
        <w:rPr>
          <w:rFonts w:ascii="宋体" w:hAnsi="宋体" w:eastAsia="宋体" w:cs="宋体"/>
          <w:bCs/>
          <w:kern w:val="0"/>
          <w:sz w:val="28"/>
          <w:szCs w:val="28"/>
        </w:rPr>
      </w:pPr>
      <w:r>
        <w:rPr>
          <w:rFonts w:hint="eastAsia" w:cs="宋体" w:asciiTheme="minorEastAsia" w:hAnsiTheme="minorEastAsia" w:eastAsiaTheme="minorEastAsia"/>
          <w:bCs/>
          <w:kern w:val="0"/>
          <w:sz w:val="28"/>
          <w:szCs w:val="28"/>
        </w:rPr>
        <w:t>1.</w:t>
      </w:r>
      <w:r>
        <w:rPr>
          <w:rFonts w:hint="eastAsia" w:ascii="宋体" w:hAnsi="宋体" w:eastAsia="宋体" w:cs="宋体"/>
          <w:bCs/>
          <w:kern w:val="0"/>
          <w:sz w:val="28"/>
          <w:szCs w:val="28"/>
        </w:rPr>
        <w:t>安全责任：本项目安全措施由投标人制定方案及组织实施，并承担全部安全责任，采购人不负责任何伤亡、劳保福利以及施工中材料被盗等责任</w:t>
      </w:r>
      <w:r>
        <w:rPr>
          <w:rFonts w:hint="eastAsia" w:cs="宋体" w:asciiTheme="minorEastAsia" w:hAnsiTheme="minorEastAsia" w:eastAsiaTheme="minorEastAsia"/>
          <w:bCs/>
          <w:kern w:val="0"/>
          <w:sz w:val="28"/>
          <w:szCs w:val="28"/>
        </w:rPr>
        <w:t>。</w:t>
      </w:r>
    </w:p>
    <w:p w14:paraId="2AA90FCC">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2.</w:t>
      </w:r>
      <w:r>
        <w:rPr>
          <w:rFonts w:hint="eastAsia" w:ascii="宋体" w:hAnsi="宋体" w:eastAsia="宋体" w:cs="宋体"/>
          <w:bCs/>
          <w:kern w:val="0"/>
          <w:sz w:val="28"/>
          <w:szCs w:val="28"/>
        </w:rPr>
        <w:t>消防责任：本项目消防措施由投标人制定方案及组织实施，严格按照相关规定进行操作。凡在施工期间因投标人过失引起的火灾事故应由投标人负责，所造成的经济损失由投标人负责全额赔偿</w:t>
      </w:r>
      <w:r>
        <w:rPr>
          <w:rFonts w:hint="eastAsia" w:cs="宋体" w:asciiTheme="minorEastAsia" w:hAnsiTheme="minorEastAsia" w:eastAsiaTheme="minorEastAsia"/>
          <w:bCs/>
          <w:kern w:val="0"/>
          <w:sz w:val="28"/>
          <w:szCs w:val="28"/>
        </w:rPr>
        <w:t>。</w:t>
      </w:r>
    </w:p>
    <w:p w14:paraId="67684CBC">
      <w:pPr>
        <w:spacing w:line="360" w:lineRule="auto"/>
        <w:ind w:firstLine="560" w:firstLineChars="200"/>
        <w:rPr>
          <w:rFonts w:cs="宋体" w:asciiTheme="minorEastAsia" w:hAnsiTheme="minorEastAsia" w:eastAsiaTheme="minorEastAsia"/>
          <w:bCs/>
          <w:kern w:val="0"/>
          <w:sz w:val="28"/>
          <w:szCs w:val="28"/>
        </w:rPr>
      </w:pPr>
      <w:r>
        <w:rPr>
          <w:rFonts w:hint="eastAsia" w:cs="宋体" w:asciiTheme="minorEastAsia" w:hAnsiTheme="minorEastAsia" w:eastAsiaTheme="minorEastAsia"/>
          <w:bCs/>
          <w:kern w:val="0"/>
          <w:sz w:val="28"/>
          <w:szCs w:val="28"/>
        </w:rPr>
        <w:t>3.</w:t>
      </w:r>
      <w:r>
        <w:rPr>
          <w:rFonts w:hint="eastAsia" w:ascii="宋体" w:hAnsi="宋体" w:eastAsia="宋体" w:cs="宋体"/>
          <w:bCs/>
          <w:kern w:val="0"/>
          <w:sz w:val="28"/>
          <w:szCs w:val="28"/>
        </w:rPr>
        <w:t>采购人不提供施工所需的食宿、办公、临设及材料加工场地，均由中标人自行解决，其费用由中标人自理。未经采购人同意，中标人不得擅自使用与施工无关的设施设备；不得擅自拆除、变更采购人防护设施及标示；中标人的生产用水、电按采购人指定地点，由中标人驳接。施工过程中需使用电、水源、通用资源，应事先与采购人取得联系，不得私拉乱接。中断作业或遇故障应立即切断有关开关。</w:t>
      </w:r>
    </w:p>
    <w:p w14:paraId="2239458C">
      <w:pPr>
        <w:spacing w:line="360" w:lineRule="auto"/>
        <w:ind w:firstLine="560" w:firstLineChars="200"/>
        <w:rPr>
          <w:rFonts w:ascii="宋体" w:hAnsi="宋体" w:eastAsia="宋体" w:cs="宋体"/>
          <w:bCs/>
          <w:kern w:val="0"/>
          <w:sz w:val="28"/>
          <w:szCs w:val="28"/>
        </w:rPr>
      </w:pPr>
      <w:r>
        <w:rPr>
          <w:rFonts w:hint="eastAsia" w:cs="宋体" w:asciiTheme="minorEastAsia" w:hAnsiTheme="minorEastAsia" w:eastAsiaTheme="minorEastAsia"/>
          <w:bCs/>
          <w:kern w:val="0"/>
          <w:sz w:val="28"/>
          <w:szCs w:val="28"/>
        </w:rPr>
        <w:t>4.</w:t>
      </w:r>
      <w:r>
        <w:rPr>
          <w:rFonts w:hint="eastAsia" w:ascii="宋体" w:hAnsi="宋体" w:eastAsia="宋体" w:cs="宋体"/>
          <w:bCs/>
          <w:kern w:val="0"/>
          <w:sz w:val="28"/>
          <w:szCs w:val="28"/>
        </w:rPr>
        <w:t>中标人施工过程中应做到工完、料尽、场地清，确保安全文明施工。中标人任何时间内应保持现场运输道路通畅，以便应急采取必要措施。</w:t>
      </w:r>
    </w:p>
    <w:p w14:paraId="734D3973">
      <w:pPr>
        <w:spacing w:line="360" w:lineRule="auto"/>
        <w:ind w:firstLine="560" w:firstLineChars="200"/>
        <w:rPr>
          <w:rFonts w:ascii="宋体" w:hAnsi="宋体" w:eastAsia="宋体" w:cs="宋体"/>
          <w:bCs/>
          <w:kern w:val="0"/>
          <w:sz w:val="28"/>
          <w:szCs w:val="28"/>
        </w:rPr>
      </w:pPr>
      <w:r>
        <w:rPr>
          <w:rFonts w:hint="eastAsia" w:cs="宋体" w:asciiTheme="minorEastAsia" w:hAnsiTheme="minorEastAsia" w:eastAsiaTheme="minorEastAsia"/>
          <w:bCs/>
          <w:kern w:val="0"/>
          <w:sz w:val="28"/>
          <w:szCs w:val="28"/>
        </w:rPr>
        <w:t>5.</w:t>
      </w:r>
      <w:r>
        <w:rPr>
          <w:rFonts w:hint="eastAsia" w:ascii="宋体" w:hAnsi="宋体" w:eastAsia="宋体" w:cs="宋体"/>
          <w:bCs/>
          <w:kern w:val="0"/>
          <w:sz w:val="28"/>
          <w:szCs w:val="28"/>
        </w:rPr>
        <w:t>中标人必须接受采购人的监督、检查，对采购人提出的安全整改意见必须及时整改。</w:t>
      </w:r>
    </w:p>
    <w:p w14:paraId="30F1C8D9">
      <w:pPr>
        <w:spacing w:line="360" w:lineRule="auto"/>
        <w:ind w:firstLine="560" w:firstLineChars="200"/>
        <w:rPr>
          <w:rFonts w:ascii="宋体" w:hAnsi="宋体" w:eastAsia="宋体" w:cs="宋体"/>
          <w:bCs/>
          <w:kern w:val="0"/>
          <w:sz w:val="28"/>
          <w:szCs w:val="28"/>
        </w:rPr>
      </w:pPr>
      <w:r>
        <w:rPr>
          <w:rFonts w:hint="eastAsia" w:cs="宋体" w:asciiTheme="minorEastAsia" w:hAnsiTheme="minorEastAsia" w:eastAsiaTheme="minorEastAsia"/>
          <w:bCs/>
          <w:kern w:val="0"/>
          <w:sz w:val="28"/>
          <w:szCs w:val="28"/>
        </w:rPr>
        <w:t>6.</w:t>
      </w:r>
      <w:r>
        <w:rPr>
          <w:rFonts w:hint="eastAsia" w:ascii="宋体" w:hAnsi="宋体" w:eastAsia="宋体" w:cs="宋体"/>
          <w:bCs/>
          <w:kern w:val="0"/>
          <w:sz w:val="28"/>
          <w:szCs w:val="28"/>
        </w:rPr>
        <w:t>本项目实施过程中须按国家、相关行业规定执行。若中标人未按国家、相关行业规定执行所造成的损失由中标人全部承担，且采购人有权向其追究相关责任。</w:t>
      </w:r>
    </w:p>
    <w:p w14:paraId="3A1E390A">
      <w:pPr>
        <w:spacing w:line="360" w:lineRule="auto"/>
        <w:ind w:firstLine="560" w:firstLineChars="200"/>
        <w:rPr>
          <w:rFonts w:ascii="宋体" w:hAnsi="宋体" w:eastAsia="宋体"/>
          <w:sz w:val="28"/>
          <w:szCs w:val="28"/>
        </w:rPr>
      </w:pPr>
      <w:r>
        <w:rPr>
          <w:rFonts w:hint="eastAsia" w:cs="宋体" w:asciiTheme="minorEastAsia" w:hAnsiTheme="minorEastAsia" w:eastAsiaTheme="minorEastAsia"/>
          <w:bCs/>
          <w:kern w:val="0"/>
          <w:sz w:val="28"/>
          <w:szCs w:val="28"/>
        </w:rPr>
        <w:t>7.款支</w:t>
      </w:r>
      <w:r>
        <w:rPr>
          <w:rFonts w:hint="eastAsia" w:ascii="宋体" w:hAnsi="宋体" w:eastAsia="宋体"/>
          <w:sz w:val="28"/>
          <w:szCs w:val="28"/>
        </w:rPr>
        <w:t>付：按项目工程量清单完成全部工作并验收合格后，中标方在15个工作日内按合同总价的100％开具发票交校方办理支付手续，待校方资金到位后支付。</w:t>
      </w:r>
    </w:p>
    <w:p w14:paraId="3BA3D104">
      <w:pPr>
        <w:spacing w:line="360" w:lineRule="auto"/>
        <w:ind w:firstLine="562" w:firstLineChars="200"/>
        <w:rPr>
          <w:rFonts w:ascii="宋体" w:hAnsi="宋体" w:eastAsia="宋体"/>
          <w:b/>
          <w:sz w:val="28"/>
          <w:szCs w:val="28"/>
        </w:rPr>
      </w:pPr>
      <w:r>
        <w:rPr>
          <w:rFonts w:hint="eastAsia" w:ascii="宋体" w:hAnsi="宋体" w:eastAsia="宋体"/>
          <w:b/>
          <w:sz w:val="28"/>
          <w:szCs w:val="28"/>
        </w:rPr>
        <w:t>注：付款时间为采购人向财政支付部门提出支付申请的时间（不含政府财政支付部门和采购人财务部门审查的时间）。</w:t>
      </w:r>
    </w:p>
    <w:p w14:paraId="4B65BD99">
      <w:pPr>
        <w:rPr>
          <w:rFonts w:cs="宋体" w:asciiTheme="minorEastAsia" w:hAnsiTheme="minorEastAsia" w:eastAsiaTheme="minorEastAsia"/>
          <w:sz w:val="28"/>
          <w:szCs w:val="28"/>
        </w:rPr>
      </w:pPr>
    </w:p>
    <w:p w14:paraId="48BEB2DD">
      <w:pPr>
        <w:jc w:val="center"/>
        <w:rPr>
          <w:rFonts w:ascii="宋体" w:hAnsi="宋体" w:cs="宋体"/>
          <w:b/>
          <w:szCs w:val="30"/>
        </w:rPr>
      </w:pPr>
    </w:p>
    <w:p w14:paraId="322B2824">
      <w:pPr>
        <w:jc w:val="center"/>
        <w:rPr>
          <w:rFonts w:ascii="宋体" w:hAnsi="宋体" w:cs="宋体"/>
          <w:b/>
          <w:szCs w:val="30"/>
        </w:rPr>
      </w:pPr>
    </w:p>
    <w:p w14:paraId="66978529">
      <w:pPr>
        <w:rPr>
          <w:rFonts w:ascii="宋体" w:hAnsi="宋体" w:cs="宋体"/>
          <w:b/>
          <w:szCs w:val="30"/>
        </w:rPr>
      </w:pPr>
    </w:p>
    <w:p w14:paraId="7F1FE872">
      <w:pPr>
        <w:jc w:val="center"/>
        <w:rPr>
          <w:rFonts w:ascii="宋体" w:hAnsi="宋体" w:cs="宋体"/>
          <w:b/>
          <w:szCs w:val="30"/>
        </w:rPr>
      </w:pPr>
      <w:r>
        <w:rPr>
          <w:rFonts w:hint="eastAsia" w:ascii="宋体" w:hAnsi="宋体" w:cs="宋体"/>
          <w:b/>
          <w:szCs w:val="30"/>
        </w:rPr>
        <w:t xml:space="preserve"> </w:t>
      </w:r>
    </w:p>
    <w:p w14:paraId="0C74770B">
      <w:pPr>
        <w:rPr>
          <w:rFonts w:ascii="宋体" w:hAnsi="宋体" w:cs="宋体"/>
          <w:b/>
          <w:szCs w:val="30"/>
        </w:rPr>
      </w:pPr>
    </w:p>
    <w:p w14:paraId="2501DBCD">
      <w:pPr>
        <w:jc w:val="center"/>
        <w:rPr>
          <w:rFonts w:ascii="宋体" w:hAnsi="宋体" w:cs="宋体"/>
          <w:b/>
          <w:szCs w:val="30"/>
        </w:rPr>
      </w:pPr>
    </w:p>
    <w:p w14:paraId="3B9E08C3">
      <w:pPr>
        <w:jc w:val="center"/>
        <w:rPr>
          <w:rFonts w:ascii="宋体" w:hAnsi="宋体" w:cs="宋体"/>
          <w:b/>
          <w:szCs w:val="30"/>
        </w:rPr>
      </w:pPr>
    </w:p>
    <w:p w14:paraId="451B99F0">
      <w:pPr>
        <w:ind w:firstLine="3451" w:firstLineChars="1146"/>
        <w:rPr>
          <w:rFonts w:ascii="宋体" w:hAnsi="宋体" w:cs="宋体"/>
          <w:b/>
          <w:szCs w:val="30"/>
        </w:rPr>
      </w:pPr>
    </w:p>
    <w:p w14:paraId="1C14448F">
      <w:pPr>
        <w:ind w:firstLine="3451" w:firstLineChars="1146"/>
        <w:rPr>
          <w:rFonts w:ascii="宋体" w:hAnsi="宋体" w:cs="宋体"/>
          <w:b/>
          <w:szCs w:val="30"/>
        </w:rPr>
      </w:pPr>
    </w:p>
    <w:p w14:paraId="79B2066D">
      <w:pPr>
        <w:ind w:firstLine="3451" w:firstLineChars="1146"/>
        <w:rPr>
          <w:rFonts w:ascii="宋体" w:hAnsi="宋体" w:cs="宋体"/>
          <w:b/>
          <w:szCs w:val="30"/>
        </w:rPr>
      </w:pPr>
    </w:p>
    <w:p w14:paraId="255BC6EA">
      <w:pPr>
        <w:widowControl/>
        <w:jc w:val="left"/>
        <w:rPr>
          <w:rFonts w:cs="宋体" w:asciiTheme="minorEastAsia" w:hAnsiTheme="minorEastAsia" w:eastAsiaTheme="minorEastAsia"/>
          <w:b/>
          <w:bCs/>
          <w:sz w:val="36"/>
          <w:szCs w:val="36"/>
        </w:rPr>
      </w:pPr>
      <w:r>
        <w:rPr>
          <w:rFonts w:cs="宋体" w:asciiTheme="minorEastAsia" w:hAnsiTheme="minorEastAsia" w:eastAsiaTheme="minorEastAsia"/>
          <w:sz w:val="36"/>
          <w:szCs w:val="36"/>
        </w:rPr>
        <w:br w:type="page"/>
      </w:r>
    </w:p>
    <w:p w14:paraId="0DC656E5">
      <w:pPr>
        <w:pStyle w:val="11"/>
        <w:rPr>
          <w:rFonts w:cs="宋体" w:asciiTheme="minorEastAsia" w:hAnsiTheme="minorEastAsia" w:eastAsiaTheme="minorEastAsia"/>
          <w:sz w:val="36"/>
          <w:szCs w:val="36"/>
        </w:rPr>
      </w:pPr>
      <w:r>
        <w:rPr>
          <w:rFonts w:hint="eastAsia" w:cs="宋体" w:asciiTheme="minorEastAsia" w:hAnsiTheme="minorEastAsia" w:eastAsiaTheme="minorEastAsia"/>
          <w:sz w:val="36"/>
          <w:szCs w:val="36"/>
        </w:rPr>
        <w:t>第二章 响应文件资料组成及相关要求</w:t>
      </w:r>
    </w:p>
    <w:p w14:paraId="73E963B0">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1.封面（注明参与投标项目名称、单位、联系人、联系电话、正本或副本等信息）加盖公章，贴在密封袋面和投标文件封面（详见附件1）</w:t>
      </w:r>
    </w:p>
    <w:p w14:paraId="66F1F208">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2.投标资质证明文件</w:t>
      </w:r>
    </w:p>
    <w:p w14:paraId="22275171">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①投标人资格声明函（详见附件2）</w:t>
      </w:r>
    </w:p>
    <w:p w14:paraId="537D77B5">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②无重大违法记录声明函（详见附件3）</w:t>
      </w:r>
    </w:p>
    <w:p w14:paraId="1488A582">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③有效的营业执照（或事业法人登记证或身份证等相关证明）复印件</w:t>
      </w:r>
    </w:p>
    <w:p w14:paraId="094EC3DE">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④法定代表人（或经营者）身份证复印件</w:t>
      </w:r>
    </w:p>
    <w:p w14:paraId="737D60AD">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3.服务承诺书包括供货时效、送货服务、产品质量服务、售后服务等（详见附件4）</w:t>
      </w:r>
    </w:p>
    <w:p w14:paraId="497E42E2">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4.平面图及材料样式图（详见附件5）</w:t>
      </w:r>
    </w:p>
    <w:p w14:paraId="381C506F">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5.项目报价表（详见附件6）</w:t>
      </w:r>
    </w:p>
    <w:p w14:paraId="492DC7A3">
      <w:pPr>
        <w:widowControl/>
        <w:spacing w:line="360" w:lineRule="auto"/>
        <w:ind w:firstLine="470" w:firstLineChars="196"/>
        <w:jc w:val="left"/>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所有响应文件所有材料加盖公章，一正本两副本，三份各自独立密封，在封面显著位置清楚标明“正本”或“副本”字样。如正本和副本内容不一致以正本书面文件为准。A4纸规格，加盖公章，顺序装订。密封袋须用封条密封加盖公章。</w:t>
      </w:r>
    </w:p>
    <w:p w14:paraId="4D40AD01">
      <w:pPr>
        <w:widowControl/>
        <w:spacing w:line="360" w:lineRule="auto"/>
        <w:ind w:firstLine="470" w:firstLineChars="196"/>
        <w:jc w:val="left"/>
        <w:rPr>
          <w:rFonts w:cs="宋体" w:asciiTheme="minorEastAsia" w:hAnsiTheme="minorEastAsia" w:eastAsiaTheme="minorEastAsia"/>
          <w:bCs/>
          <w:color w:val="FF0000"/>
          <w:kern w:val="0"/>
          <w:sz w:val="24"/>
          <w:szCs w:val="24"/>
        </w:rPr>
      </w:pPr>
      <w:r>
        <w:rPr>
          <w:rFonts w:hint="eastAsia" w:cs="宋体" w:asciiTheme="minorEastAsia" w:hAnsiTheme="minorEastAsia" w:eastAsiaTheme="minorEastAsia"/>
          <w:bCs/>
          <w:color w:val="FF0000"/>
          <w:kern w:val="0"/>
          <w:sz w:val="24"/>
          <w:szCs w:val="24"/>
        </w:rPr>
        <w:t>注：投标人可根据项目需求内容添加响应文件资料。</w:t>
      </w:r>
    </w:p>
    <w:p w14:paraId="59E69CB2"/>
    <w:p w14:paraId="10F160B7">
      <w:pPr>
        <w:pStyle w:val="11"/>
        <w:jc w:val="both"/>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br w:type="page"/>
      </w:r>
    </w:p>
    <w:p w14:paraId="4E20A5C0">
      <w:pPr>
        <w:pStyle w:val="11"/>
        <w:jc w:val="both"/>
        <w:rPr>
          <w:rFonts w:cs="宋体" w:asciiTheme="minorEastAsia" w:hAnsiTheme="minorEastAsia" w:eastAsiaTheme="minorEastAsia"/>
          <w:b w:val="0"/>
          <w:sz w:val="24"/>
          <w:szCs w:val="24"/>
        </w:rPr>
      </w:pPr>
      <w:r>
        <w:rPr>
          <w:rFonts w:hint="eastAsia" w:cs="宋体" w:asciiTheme="minorEastAsia" w:hAnsiTheme="minorEastAsia" w:eastAsiaTheme="minorEastAsia"/>
          <w:b w:val="0"/>
          <w:sz w:val="24"/>
          <w:szCs w:val="24"/>
        </w:rPr>
        <w:t>附件1：</w:t>
      </w:r>
    </w:p>
    <w:p w14:paraId="574B1803">
      <w:pPr>
        <w:pStyle w:val="11"/>
        <w:jc w:val="both"/>
        <w:rPr>
          <w:rFonts w:asciiTheme="minorEastAsia" w:hAnsiTheme="minorEastAsia" w:eastAsiaTheme="minorEastAsia"/>
          <w:sz w:val="44"/>
          <w:szCs w:val="44"/>
        </w:rPr>
      </w:pPr>
      <w:r>
        <w:rPr>
          <w:rFonts w:hint="eastAsia" w:asciiTheme="minorEastAsia" w:hAnsiTheme="minorEastAsia" w:eastAsiaTheme="minorEastAsia"/>
        </w:rPr>
        <w:t>封面：</w:t>
      </w:r>
    </w:p>
    <w:p w14:paraId="6FF1A055">
      <w:pPr>
        <w:spacing w:line="240" w:lineRule="atLeast"/>
        <w:jc w:val="center"/>
        <w:rPr>
          <w:rFonts w:cs="Helvetica" w:asciiTheme="minorEastAsia" w:hAnsiTheme="minorEastAsia" w:eastAsiaTheme="minorEastAsia"/>
          <w:b/>
          <w:color w:val="FF0000"/>
          <w:kern w:val="0"/>
          <w:sz w:val="52"/>
          <w:szCs w:val="52"/>
          <w:u w:val="single"/>
        </w:rPr>
      </w:pPr>
      <w:r>
        <w:rPr>
          <w:rFonts w:hint="eastAsia" w:cs="Helvetica" w:asciiTheme="minorEastAsia" w:hAnsiTheme="minorEastAsia" w:eastAsiaTheme="minorEastAsia"/>
          <w:b/>
          <w:color w:val="000000" w:themeColor="text1"/>
          <w:kern w:val="0"/>
          <w:sz w:val="52"/>
          <w:szCs w:val="52"/>
          <w:u w:val="single"/>
          <w14:textFill>
            <w14:solidFill>
              <w14:schemeClr w14:val="tx1"/>
            </w14:solidFill>
          </w14:textFill>
        </w:rPr>
        <w:t>江门市技师学院</w:t>
      </w:r>
    </w:p>
    <w:p w14:paraId="73696181">
      <w:pPr>
        <w:spacing w:line="240" w:lineRule="atLeast"/>
        <w:jc w:val="center"/>
        <w:rPr>
          <w:rFonts w:cs="Helvetica" w:asciiTheme="minorEastAsia" w:hAnsiTheme="minorEastAsia" w:eastAsiaTheme="minorEastAsia"/>
          <w:b/>
          <w:color w:val="000000" w:themeColor="text1"/>
          <w:kern w:val="0"/>
          <w:sz w:val="52"/>
          <w:szCs w:val="52"/>
          <w:u w:val="single"/>
          <w14:textFill>
            <w14:solidFill>
              <w14:schemeClr w14:val="tx1"/>
            </w14:solidFill>
          </w14:textFill>
        </w:rPr>
      </w:pPr>
      <w:r>
        <w:rPr>
          <w:rFonts w:hint="eastAsia" w:cs="Helvetica" w:asciiTheme="minorEastAsia" w:hAnsiTheme="minorEastAsia" w:eastAsiaTheme="minorEastAsia"/>
          <w:b/>
          <w:color w:val="000000" w:themeColor="text1"/>
          <w:kern w:val="0"/>
          <w:sz w:val="52"/>
          <w:szCs w:val="52"/>
          <w:u w:val="single"/>
          <w14:textFill>
            <w14:solidFill>
              <w14:schemeClr w14:val="tx1"/>
            </w14:solidFill>
          </w14:textFill>
        </w:rPr>
        <w:t>两校区单双杠体育设施建设项目</w:t>
      </w:r>
    </w:p>
    <w:p w14:paraId="7BF32CE2">
      <w:pPr>
        <w:spacing w:line="240" w:lineRule="atLeast"/>
        <w:jc w:val="center"/>
        <w:rPr>
          <w:rFonts w:cs="Helvetica" w:asciiTheme="minorEastAsia" w:hAnsiTheme="minorEastAsia" w:eastAsiaTheme="minorEastAsia"/>
          <w:b/>
          <w:color w:val="FF0000"/>
          <w:kern w:val="0"/>
          <w:sz w:val="52"/>
          <w:szCs w:val="52"/>
          <w:u w:val="single"/>
        </w:rPr>
      </w:pPr>
    </w:p>
    <w:p w14:paraId="2CA42349">
      <w:pPr>
        <w:spacing w:line="240" w:lineRule="atLeas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项目编号：</w:t>
      </w:r>
      <w:r>
        <w:rPr>
          <w:rFonts w:hint="eastAsia" w:asciiTheme="minorEastAsia" w:hAnsiTheme="minorEastAsia" w:eastAsiaTheme="minorEastAsia"/>
          <w:b/>
          <w:sz w:val="28"/>
          <w:szCs w:val="28"/>
          <w:lang w:val="en-US" w:eastAsia="zh-CN"/>
        </w:rPr>
        <w:t>j</w:t>
      </w:r>
      <w:bookmarkStart w:id="1" w:name="_GoBack"/>
      <w:bookmarkEnd w:id="1"/>
      <w:r>
        <w:rPr>
          <w:rFonts w:hint="eastAsia" w:asciiTheme="minorEastAsia" w:hAnsiTheme="minorEastAsia" w:eastAsiaTheme="minorEastAsia"/>
          <w:b/>
          <w:sz w:val="28"/>
          <w:szCs w:val="28"/>
        </w:rPr>
        <w:t>wb-cgzx-2025-59</w:t>
      </w:r>
    </w:p>
    <w:p w14:paraId="57138FC0">
      <w:pPr>
        <w:spacing w:line="240" w:lineRule="atLeast"/>
        <w:jc w:val="center"/>
        <w:rPr>
          <w:rFonts w:asciiTheme="minorEastAsia" w:hAnsiTheme="minorEastAsia" w:eastAsiaTheme="minorEastAsia"/>
          <w:b/>
          <w:color w:val="000000"/>
          <w:sz w:val="44"/>
          <w:szCs w:val="44"/>
        </w:rPr>
      </w:pPr>
    </w:p>
    <w:p w14:paraId="468E4BB8">
      <w:pPr>
        <w:spacing w:line="240" w:lineRule="atLeast"/>
        <w:jc w:val="center"/>
        <w:rPr>
          <w:rFonts w:asciiTheme="minorEastAsia" w:hAnsiTheme="minorEastAsia" w:eastAsiaTheme="minorEastAsia"/>
          <w:b/>
          <w:bCs/>
          <w:color w:val="000000"/>
          <w:sz w:val="72"/>
          <w:szCs w:val="72"/>
        </w:rPr>
      </w:pPr>
      <w:r>
        <w:rPr>
          <w:rFonts w:hint="eastAsia" w:asciiTheme="minorEastAsia" w:hAnsiTheme="minorEastAsia" w:eastAsiaTheme="minorEastAsia"/>
          <w:b/>
          <w:bCs/>
          <w:color w:val="000000"/>
          <w:sz w:val="72"/>
          <w:szCs w:val="72"/>
        </w:rPr>
        <w:t>响</w:t>
      </w:r>
    </w:p>
    <w:p w14:paraId="7428428A">
      <w:pPr>
        <w:spacing w:line="240" w:lineRule="atLeast"/>
        <w:jc w:val="center"/>
        <w:rPr>
          <w:rFonts w:asciiTheme="minorEastAsia" w:hAnsiTheme="minorEastAsia" w:eastAsiaTheme="minorEastAsia"/>
          <w:b/>
          <w:bCs/>
          <w:color w:val="000000"/>
          <w:sz w:val="72"/>
          <w:szCs w:val="72"/>
        </w:rPr>
      </w:pPr>
      <w:r>
        <w:rPr>
          <w:rFonts w:hint="eastAsia" w:asciiTheme="minorEastAsia" w:hAnsiTheme="minorEastAsia" w:eastAsiaTheme="minorEastAsia"/>
          <w:b/>
          <w:bCs/>
          <w:color w:val="000000"/>
          <w:sz w:val="72"/>
          <w:szCs w:val="72"/>
        </w:rPr>
        <w:t>应</w:t>
      </w:r>
    </w:p>
    <w:p w14:paraId="6464C061">
      <w:pPr>
        <w:spacing w:line="240" w:lineRule="atLeast"/>
        <w:jc w:val="center"/>
        <w:rPr>
          <w:rFonts w:asciiTheme="minorEastAsia" w:hAnsiTheme="minorEastAsia" w:eastAsiaTheme="minorEastAsia"/>
          <w:b/>
          <w:bCs/>
          <w:color w:val="000000"/>
          <w:sz w:val="72"/>
          <w:szCs w:val="72"/>
        </w:rPr>
      </w:pPr>
      <w:r>
        <w:rPr>
          <w:rFonts w:hint="eastAsia" w:asciiTheme="minorEastAsia" w:hAnsiTheme="minorEastAsia" w:eastAsiaTheme="minorEastAsia"/>
          <w:b/>
          <w:bCs/>
          <w:color w:val="000000"/>
          <w:sz w:val="72"/>
          <w:szCs w:val="72"/>
        </w:rPr>
        <w:t>文</w:t>
      </w:r>
    </w:p>
    <w:p w14:paraId="443D068E">
      <w:pPr>
        <w:spacing w:line="240" w:lineRule="atLeast"/>
        <w:jc w:val="center"/>
        <w:rPr>
          <w:rFonts w:asciiTheme="minorEastAsia" w:hAnsiTheme="minorEastAsia" w:eastAsiaTheme="minorEastAsia"/>
          <w:color w:val="000000"/>
          <w:sz w:val="72"/>
          <w:szCs w:val="72"/>
        </w:rPr>
      </w:pPr>
      <w:r>
        <w:rPr>
          <w:rFonts w:hint="eastAsia" w:asciiTheme="minorEastAsia" w:hAnsiTheme="minorEastAsia" w:eastAsiaTheme="minorEastAsia"/>
          <w:b/>
          <w:bCs/>
          <w:color w:val="000000"/>
          <w:sz w:val="72"/>
          <w:szCs w:val="72"/>
        </w:rPr>
        <w:t>件</w:t>
      </w:r>
    </w:p>
    <w:p w14:paraId="7878C4E3">
      <w:pPr>
        <w:spacing w:line="240" w:lineRule="atLeast"/>
        <w:ind w:firstLine="320" w:firstLineChars="100"/>
        <w:jc w:val="center"/>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（正本/副本）</w:t>
      </w:r>
    </w:p>
    <w:p w14:paraId="6DFDC757">
      <w:pPr>
        <w:spacing w:line="240" w:lineRule="atLeast"/>
        <w:ind w:firstLine="320" w:firstLineChars="100"/>
        <w:jc w:val="center"/>
        <w:rPr>
          <w:rFonts w:asciiTheme="minorEastAsia" w:hAnsiTheme="minorEastAsia" w:eastAsiaTheme="minorEastAsia"/>
          <w:color w:val="000000"/>
          <w:sz w:val="32"/>
          <w:szCs w:val="32"/>
        </w:rPr>
      </w:pPr>
    </w:p>
    <w:p w14:paraId="526BC453">
      <w:pPr>
        <w:spacing w:line="360" w:lineRule="auto"/>
        <w:rPr>
          <w:rFonts w:asciiTheme="minorEastAsia" w:hAnsiTheme="minorEastAsia" w:eastAsiaTheme="minorEastAsia"/>
          <w:color w:val="000000"/>
          <w:sz w:val="28"/>
          <w:szCs w:val="28"/>
        </w:rPr>
      </w:pPr>
    </w:p>
    <w:p w14:paraId="5992F0A1">
      <w:pPr>
        <w:spacing w:line="360" w:lineRule="auto"/>
        <w:ind w:firstLine="1260" w:firstLineChars="450"/>
        <w:jc w:val="left"/>
        <w:rPr>
          <w:rFonts w:asciiTheme="minorEastAsia" w:hAnsiTheme="minorEastAsia" w:eastAsiaTheme="minorEastAsia"/>
          <w:color w:val="000000"/>
          <w:sz w:val="28"/>
        </w:rPr>
      </w:pPr>
      <w:r>
        <w:rPr>
          <w:rFonts w:hint="eastAsia" w:asciiTheme="minorEastAsia" w:hAnsiTheme="minorEastAsia" w:eastAsiaTheme="minorEastAsia"/>
          <w:color w:val="000000"/>
          <w:sz w:val="28"/>
        </w:rPr>
        <w:t>投标人（盖章）：</w:t>
      </w:r>
    </w:p>
    <w:p w14:paraId="2036A56B">
      <w:pPr>
        <w:spacing w:line="360" w:lineRule="auto"/>
        <w:ind w:firstLine="1260" w:firstLineChars="450"/>
        <w:jc w:val="left"/>
        <w:rPr>
          <w:rFonts w:asciiTheme="minorEastAsia" w:hAnsiTheme="minorEastAsia" w:eastAsiaTheme="minorEastAsia"/>
          <w:color w:val="000000"/>
          <w:sz w:val="28"/>
        </w:rPr>
      </w:pPr>
      <w:r>
        <w:rPr>
          <w:rFonts w:hint="eastAsia" w:asciiTheme="minorEastAsia" w:hAnsiTheme="minorEastAsia" w:eastAsiaTheme="minorEastAsia"/>
          <w:color w:val="000000"/>
          <w:sz w:val="28"/>
        </w:rPr>
        <w:t>法定代表人（或经营者）或委托代理人（签字）：</w:t>
      </w:r>
    </w:p>
    <w:p w14:paraId="48F79690">
      <w:pPr>
        <w:spacing w:line="360" w:lineRule="auto"/>
        <w:ind w:right="-732" w:rightChars="-244" w:firstLine="1260" w:firstLineChars="450"/>
        <w:jc w:val="left"/>
        <w:rPr>
          <w:rFonts w:asciiTheme="minorEastAsia" w:hAnsiTheme="minorEastAsia" w:eastAsiaTheme="minorEastAsia"/>
          <w:color w:val="000000"/>
          <w:sz w:val="28"/>
        </w:rPr>
      </w:pPr>
      <w:r>
        <w:rPr>
          <w:rFonts w:hint="eastAsia" w:asciiTheme="minorEastAsia" w:hAnsiTheme="minorEastAsia" w:eastAsiaTheme="minorEastAsia"/>
          <w:color w:val="000000"/>
          <w:sz w:val="28"/>
        </w:rPr>
        <w:t>日期：年月日</w:t>
      </w:r>
      <w:r>
        <w:rPr>
          <w:rFonts w:asciiTheme="minorEastAsia" w:hAnsiTheme="minorEastAsia" w:eastAsiaTheme="minorEastAsia"/>
          <w:color w:val="000000"/>
          <w:sz w:val="28"/>
        </w:rPr>
        <w:br w:type="page"/>
      </w:r>
    </w:p>
    <w:p w14:paraId="326E44A3">
      <w:pPr>
        <w:spacing w:line="240" w:lineRule="atLeast"/>
        <w:ind w:right="-732" w:rightChars="-244"/>
        <w:rPr>
          <w:rFonts w:asciiTheme="minorEastAsia" w:hAnsiTheme="minorEastAsia" w:eastAsiaTheme="minorEastAsia"/>
          <w:color w:val="000000"/>
          <w:sz w:val="28"/>
        </w:rPr>
      </w:pPr>
      <w:r>
        <w:rPr>
          <w:rFonts w:hint="eastAsia" w:asciiTheme="minorEastAsia" w:hAnsiTheme="minorEastAsia" w:eastAsiaTheme="minorEastAsia"/>
          <w:color w:val="000000"/>
          <w:sz w:val="28"/>
        </w:rPr>
        <w:t>封面粘贴要求：按统一格式，完善相关资料后打印贴于档案袋正面</w:t>
      </w:r>
    </w:p>
    <w:p w14:paraId="0ACDE51A">
      <w:pPr>
        <w:spacing w:line="240" w:lineRule="atLeast"/>
        <w:ind w:right="-732" w:rightChars="-244"/>
        <w:rPr>
          <w:rFonts w:asciiTheme="minorEastAsia" w:hAnsiTheme="minorEastAsia" w:eastAsiaTheme="minorEastAsia"/>
          <w:color w:val="FF0000"/>
          <w:sz w:val="28"/>
        </w:rPr>
      </w:pPr>
      <w:r>
        <w:rPr>
          <w:rFonts w:hint="eastAsia" w:asciiTheme="minorEastAsia" w:hAnsiTheme="minorEastAsia" w:eastAsiaTheme="minorEastAsia"/>
          <w:color w:val="FF0000"/>
          <w:sz w:val="28"/>
        </w:rPr>
        <w:t>注意：请选择正本或副本，并加盖单位公章。</w:t>
      </w:r>
    </w:p>
    <w:p w14:paraId="70219606">
      <w:pPr>
        <w:spacing w:line="240" w:lineRule="atLeast"/>
        <w:ind w:right="-732" w:rightChars="-244"/>
        <w:rPr>
          <w:rFonts w:asciiTheme="minorEastAsia" w:hAnsiTheme="minorEastAsia" w:eastAsiaTheme="minorEastAsia"/>
          <w:color w:val="000000"/>
          <w:sz w:val="28"/>
        </w:rPr>
      </w:pPr>
      <w:r>
        <w:rPr>
          <w:rFonts w:hint="eastAsia" w:asciiTheme="minorEastAsia" w:hAnsiTheme="minorEastAsia" w:eastAsiaTheme="minorEastAsia"/>
          <w:color w:val="000000"/>
          <w:sz w:val="28"/>
        </w:rPr>
        <w:drawing>
          <wp:inline distT="0" distB="0" distL="0" distR="0">
            <wp:extent cx="6050915" cy="8062595"/>
            <wp:effectExtent l="19050" t="0" r="6985" b="0"/>
            <wp:docPr id="1" name="图片 1" descr="f455d1b4dca9e0af150f2c83ef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55d1b4dca9e0af150f2c83ef88159"/>
                    <pic:cNvPicPr>
                      <a:picLocks noChangeAspect="1" noChangeArrowheads="1"/>
                    </pic:cNvPicPr>
                  </pic:nvPicPr>
                  <pic:blipFill>
                    <a:blip r:embed="rId4" cstate="print"/>
                    <a:srcRect/>
                    <a:stretch>
                      <a:fillRect/>
                    </a:stretch>
                  </pic:blipFill>
                  <pic:spPr>
                    <a:xfrm>
                      <a:off x="0" y="0"/>
                      <a:ext cx="6050915" cy="8062595"/>
                    </a:xfrm>
                    <a:prstGeom prst="rect">
                      <a:avLst/>
                    </a:prstGeom>
                    <a:noFill/>
                    <a:ln w="9525">
                      <a:noFill/>
                      <a:miter lim="800000"/>
                      <a:headEnd/>
                      <a:tailEnd/>
                    </a:ln>
                  </pic:spPr>
                </pic:pic>
              </a:graphicData>
            </a:graphic>
          </wp:inline>
        </w:drawing>
      </w:r>
    </w:p>
    <w:p w14:paraId="2102D290">
      <w:pPr>
        <w:widowControl/>
        <w:jc w:val="left"/>
        <w:rPr>
          <w:rFonts w:asciiTheme="minorEastAsia" w:hAnsiTheme="minorEastAsia" w:eastAsiaTheme="minorEastAsia"/>
          <w:color w:val="000000"/>
          <w:sz w:val="28"/>
          <w:szCs w:val="28"/>
        </w:rPr>
      </w:pPr>
      <w:r>
        <w:rPr>
          <w:rFonts w:asciiTheme="minorEastAsia" w:hAnsiTheme="minorEastAsia" w:eastAsiaTheme="minorEastAsia"/>
          <w:color w:val="000000"/>
          <w:sz w:val="28"/>
          <w:szCs w:val="28"/>
        </w:rPr>
        <w:br w:type="page"/>
      </w:r>
    </w:p>
    <w:p w14:paraId="526F3992">
      <w:pPr>
        <w:spacing w:line="240" w:lineRule="atLeast"/>
        <w:ind w:right="-732" w:rightChars="-244"/>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封条粘贴要求：密封条须贴在档案袋封口处，盖骑缝公章。</w:t>
      </w:r>
    </w:p>
    <w:p w14:paraId="1E0CDA47">
      <w:pPr>
        <w:spacing w:line="240" w:lineRule="atLeast"/>
        <w:ind w:right="-732" w:rightChars="-244"/>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注意：下图仅供参考，密封条粘贴及盖章位置按需处理。</w:t>
      </w:r>
    </w:p>
    <w:p w14:paraId="79279C07">
      <w:pPr>
        <w:spacing w:line="240" w:lineRule="atLeast"/>
        <w:ind w:right="-732" w:rightChars="-244"/>
        <w:rPr>
          <w:rFonts w:asciiTheme="minorEastAsia" w:hAnsiTheme="minorEastAsia" w:eastAsiaTheme="minorEastAsia"/>
          <w:b/>
          <w:sz w:val="36"/>
          <w:szCs w:val="36"/>
        </w:rPr>
      </w:pPr>
      <w:r>
        <w:rPr>
          <w:rFonts w:asciiTheme="minorEastAsia" w:hAnsiTheme="minorEastAsia" w:eastAsiaTheme="minorEastAsia"/>
          <w:color w:val="000000"/>
          <w:sz w:val="28"/>
          <w:szCs w:val="28"/>
        </w:rPr>
        <w:drawing>
          <wp:inline distT="0" distB="0" distL="0" distR="0">
            <wp:extent cx="6192520" cy="8448675"/>
            <wp:effectExtent l="19050" t="0" r="0" b="0"/>
            <wp:docPr id="3" name="图片 1" descr="C:\Users\Administrator\Desktop\9e662da01a2e465b8227d67c2c87480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9e662da01a2e465b8227d67c2c874803_副本.jpg"/>
                    <pic:cNvPicPr>
                      <a:picLocks noChangeAspect="1" noChangeArrowheads="1"/>
                    </pic:cNvPicPr>
                  </pic:nvPicPr>
                  <pic:blipFill>
                    <a:blip r:embed="rId5"/>
                    <a:srcRect/>
                    <a:stretch>
                      <a:fillRect/>
                    </a:stretch>
                  </pic:blipFill>
                  <pic:spPr>
                    <a:xfrm>
                      <a:off x="0" y="0"/>
                      <a:ext cx="6192520" cy="8448805"/>
                    </a:xfrm>
                    <a:prstGeom prst="rect">
                      <a:avLst/>
                    </a:prstGeom>
                    <a:noFill/>
                    <a:ln w="9525">
                      <a:noFill/>
                      <a:miter lim="800000"/>
                      <a:headEnd/>
                      <a:tailEnd/>
                    </a:ln>
                  </pic:spPr>
                </pic:pic>
              </a:graphicData>
            </a:graphic>
          </wp:inline>
        </w:drawing>
      </w:r>
      <w:r>
        <w:rPr>
          <w:rFonts w:asciiTheme="minorEastAsia" w:hAnsiTheme="minorEastAsia" w:eastAsiaTheme="minorEastAsia"/>
          <w:b/>
          <w:sz w:val="36"/>
          <w:szCs w:val="36"/>
        </w:rPr>
        <w:br w:type="page"/>
      </w:r>
    </w:p>
    <w:p w14:paraId="79ED1623">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附件2：</w:t>
      </w:r>
    </w:p>
    <w:p w14:paraId="510153BD">
      <w:pPr>
        <w:widowControl/>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投标人资格声明函</w:t>
      </w:r>
    </w:p>
    <w:p w14:paraId="7CFD9EB1">
      <w:pPr>
        <w:widowControl/>
        <w:jc w:val="left"/>
        <w:rPr>
          <w:rFonts w:asciiTheme="minorEastAsia" w:hAnsiTheme="minorEastAsia" w:eastAsiaTheme="minorEastAsia"/>
          <w:b/>
          <w:sz w:val="28"/>
          <w:szCs w:val="28"/>
        </w:rPr>
      </w:pPr>
    </w:p>
    <w:p w14:paraId="66C6156F">
      <w:pPr>
        <w:spacing w:line="480" w:lineRule="auto"/>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0AAD1F92">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与投标前已详细研究了本次招标的所有内容，包括澄清、修改文件（如果有）和所有已提供的参考资料以及有关附件，我单位完全明白并认为此招标没有倾向性，也不存在排斥潜在投标人的内容，我单位同意招标文件的相关条款，放弃对招标文件提出误解和质疑的一切权力。</w:t>
      </w:r>
    </w:p>
    <w:p w14:paraId="7599BA54">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我单位具备《中华人民共和国政府采购法》第二十二条规定的条件。</w:t>
      </w:r>
    </w:p>
    <w:p w14:paraId="2789E414">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我单位作为法律、财务和运作上独立于采购人、采购代理机构的投标人，在此保证所提交的所有文件和全部说明是真实的和正确的。</w:t>
      </w:r>
    </w:p>
    <w:p w14:paraId="13117F77">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我单位与其他投标人不存在单位负责人为同一人或者存在直接控股、管理关系。</w:t>
      </w:r>
    </w:p>
    <w:p w14:paraId="02BDA521">
      <w:pPr>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27923EE0">
      <w:pPr>
        <w:spacing w:line="480" w:lineRule="auto"/>
        <w:rPr>
          <w:rFonts w:asciiTheme="minorEastAsia" w:hAnsiTheme="minorEastAsia" w:eastAsiaTheme="minorEastAsia"/>
          <w:sz w:val="28"/>
          <w:szCs w:val="28"/>
        </w:rPr>
      </w:pPr>
    </w:p>
    <w:p w14:paraId="44B31CB2">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4EA4FB2C">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7694703E">
      <w:pPr>
        <w:spacing w:line="480" w:lineRule="auto"/>
        <w:ind w:firstLine="560" w:firstLineChars="200"/>
        <w:rPr>
          <w:rFonts w:asciiTheme="minorEastAsia" w:hAnsiTheme="minorEastAsia" w:eastAsiaTheme="minorEastAsia"/>
          <w:b/>
          <w:sz w:val="36"/>
          <w:szCs w:val="36"/>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r>
        <w:rPr>
          <w:rFonts w:asciiTheme="minorEastAsia" w:hAnsiTheme="minorEastAsia" w:eastAsiaTheme="minorEastAsia"/>
          <w:b/>
          <w:sz w:val="28"/>
          <w:szCs w:val="28"/>
        </w:rPr>
        <w:br w:type="page"/>
      </w:r>
    </w:p>
    <w:p w14:paraId="114C076D">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附件3：</w:t>
      </w:r>
    </w:p>
    <w:p w14:paraId="35FDDF6D">
      <w:pPr>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无重大违法记录声明函</w:t>
      </w:r>
    </w:p>
    <w:p w14:paraId="0C18D1A6">
      <w:pPr>
        <w:tabs>
          <w:tab w:val="left" w:pos="3952"/>
        </w:tabs>
        <w:rPr>
          <w:rFonts w:asciiTheme="minorEastAsia" w:hAnsiTheme="minorEastAsia" w:eastAsiaTheme="minorEastAsia"/>
          <w:sz w:val="24"/>
        </w:rPr>
      </w:pPr>
    </w:p>
    <w:p w14:paraId="6A23BAF7">
      <w:pPr>
        <w:spacing w:line="480" w:lineRule="auto"/>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58E56B50">
      <w:pPr>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加政府采购活动前三年内在经营活动中没有重大违法记录（包括因违法经营受到刑事处罚或者责令停产停业、吊销许可证或者执照、较大数额罚款等行政处罚），无政府采购严重违法失信行为。</w:t>
      </w:r>
    </w:p>
    <w:p w14:paraId="6132141F">
      <w:pPr>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1D8EB559">
      <w:pPr>
        <w:spacing w:line="480" w:lineRule="auto"/>
        <w:rPr>
          <w:rFonts w:asciiTheme="minorEastAsia" w:hAnsiTheme="minorEastAsia" w:eastAsiaTheme="minorEastAsia"/>
          <w:sz w:val="28"/>
          <w:szCs w:val="28"/>
        </w:rPr>
      </w:pPr>
    </w:p>
    <w:p w14:paraId="372D18F9">
      <w:pPr>
        <w:spacing w:line="480" w:lineRule="auto"/>
        <w:rPr>
          <w:rFonts w:asciiTheme="minorEastAsia" w:hAnsiTheme="minorEastAsia" w:eastAsiaTheme="minorEastAsia"/>
          <w:sz w:val="28"/>
          <w:szCs w:val="28"/>
        </w:rPr>
      </w:pPr>
    </w:p>
    <w:p w14:paraId="59D59122">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0E355571">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563629B7">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p>
    <w:p w14:paraId="08E9A306">
      <w:pPr>
        <w:rPr>
          <w:rFonts w:asciiTheme="minorEastAsia" w:hAnsiTheme="minorEastAsia" w:eastAsiaTheme="minorEastAsia"/>
        </w:rPr>
      </w:pPr>
    </w:p>
    <w:p w14:paraId="55639161">
      <w:pPr>
        <w:widowControl/>
        <w:jc w:val="left"/>
        <w:rPr>
          <w:rFonts w:asciiTheme="minorEastAsia" w:hAnsiTheme="minorEastAsia" w:eastAsiaTheme="minorEastAsia"/>
          <w:b/>
          <w:bCs/>
          <w:sz w:val="32"/>
          <w:szCs w:val="32"/>
        </w:rPr>
      </w:pPr>
      <w:r>
        <w:rPr>
          <w:rFonts w:asciiTheme="minorEastAsia" w:hAnsiTheme="minorEastAsia" w:eastAsiaTheme="minorEastAsia"/>
        </w:rPr>
        <w:br w:type="page"/>
      </w:r>
    </w:p>
    <w:p w14:paraId="7F459C9E">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附件4：</w:t>
      </w:r>
    </w:p>
    <w:p w14:paraId="0BA8183A">
      <w:pPr>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服务承诺书</w:t>
      </w:r>
    </w:p>
    <w:p w14:paraId="514860D6">
      <w:pPr>
        <w:rPr>
          <w:rFonts w:asciiTheme="minorEastAsia" w:hAnsiTheme="minorEastAsia" w:eastAsiaTheme="minorEastAsia"/>
        </w:rPr>
      </w:pPr>
    </w:p>
    <w:p w14:paraId="458BFC81">
      <w:pPr>
        <w:spacing w:line="480" w:lineRule="auto"/>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1409E378">
      <w:pPr>
        <w:widowControl/>
        <w:spacing w:line="600" w:lineRule="exact"/>
        <w:ind w:firstLine="560" w:firstLineChars="200"/>
        <w:rPr>
          <w:rFonts w:ascii="宋体" w:hAnsi="宋体" w:cs="宋体"/>
          <w:bCs/>
          <w:kern w:val="0"/>
          <w:sz w:val="28"/>
          <w:szCs w:val="28"/>
        </w:rPr>
      </w:pPr>
      <w:r>
        <w:rPr>
          <w:rFonts w:hint="eastAsia" w:asciiTheme="minorEastAsia" w:hAnsiTheme="minorEastAsia" w:eastAsiaTheme="minorEastAsia"/>
          <w:sz w:val="28"/>
          <w:szCs w:val="28"/>
        </w:rPr>
        <w:t xml:space="preserve">对于 </w:t>
      </w:r>
      <w:r>
        <w:rPr>
          <w:rFonts w:hint="eastAsia" w:asciiTheme="minorEastAsia" w:hAnsiTheme="minorEastAsia" w:eastAsiaTheme="minorEastAsia"/>
          <w:sz w:val="28"/>
          <w:szCs w:val="28"/>
          <w:u w:val="single"/>
        </w:rPr>
        <w:t xml:space="preserve">                  项目</w:t>
      </w:r>
      <w:r>
        <w:rPr>
          <w:rFonts w:hint="eastAsia" w:asciiTheme="minorEastAsia" w:hAnsiTheme="minorEastAsia" w:eastAsiaTheme="minorEastAsia"/>
          <w:sz w:val="28"/>
          <w:szCs w:val="28"/>
        </w:rPr>
        <w:t>（项目编号：</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），我单位郑重承诺如中标/成交，我单位严格落实项目需求以下条款：(建议逐条复制项目需求相关条款原文)</w:t>
      </w:r>
    </w:p>
    <w:p w14:paraId="65B06179">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w:t>
      </w:r>
    </w:p>
    <w:p w14:paraId="36AA85A7">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p>
    <w:p w14:paraId="5F3E340D">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w:t>
      </w:r>
    </w:p>
    <w:p w14:paraId="18DA804E">
      <w:pPr>
        <w:spacing w:line="48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w:t>
      </w:r>
    </w:p>
    <w:p w14:paraId="4B920F4E">
      <w:pPr>
        <w:pStyle w:val="11"/>
        <w:jc w:val="both"/>
        <w:rPr>
          <w:rFonts w:asciiTheme="minorEastAsia" w:hAnsiTheme="minorEastAsia" w:eastAsiaTheme="minorEastAsia"/>
          <w:b w:val="0"/>
          <w:bCs w:val="0"/>
          <w:sz w:val="30"/>
          <w:szCs w:val="20"/>
        </w:rPr>
      </w:pPr>
      <w:r>
        <w:rPr>
          <w:rFonts w:hint="eastAsia" w:asciiTheme="minorEastAsia" w:hAnsiTheme="minorEastAsia" w:eastAsiaTheme="minorEastAsia"/>
          <w:b w:val="0"/>
          <w:bCs w:val="0"/>
          <w:sz w:val="30"/>
          <w:szCs w:val="20"/>
        </w:rPr>
        <w:t>特此承诺。</w:t>
      </w:r>
    </w:p>
    <w:p w14:paraId="1D672402">
      <w:pPr>
        <w:pStyle w:val="11"/>
        <w:jc w:val="both"/>
        <w:rPr>
          <w:rFonts w:asciiTheme="minorEastAsia" w:hAnsiTheme="minorEastAsia" w:eastAsiaTheme="minorEastAsia"/>
          <w:b w:val="0"/>
          <w:bCs w:val="0"/>
          <w:sz w:val="30"/>
          <w:szCs w:val="20"/>
        </w:rPr>
      </w:pPr>
    </w:p>
    <w:p w14:paraId="31064308">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hint="eastAsia" w:ascii="MS Mincho" w:hAnsi="MS Mincho" w:eastAsia="MS Mincho" w:cs="MS Mincho"/>
          <w:sz w:val="28"/>
          <w:szCs w:val="28"/>
          <w:u w:val="single"/>
        </w:rPr>
        <w:t>  </w:t>
      </w:r>
    </w:p>
    <w:p w14:paraId="1097D9A6">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hint="eastAsia" w:ascii="MS Mincho" w:hAnsi="MS Mincho" w:eastAsia="MS Mincho" w:cs="MS Mincho"/>
          <w:sz w:val="28"/>
          <w:szCs w:val="28"/>
          <w:u w:val="single"/>
        </w:rPr>
        <w:t>  </w:t>
      </w:r>
    </w:p>
    <w:p w14:paraId="4735F95F">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p>
    <w:p w14:paraId="12CF8EDC">
      <w:pPr>
        <w:pStyle w:val="11"/>
        <w:jc w:val="both"/>
        <w:rPr>
          <w:rFonts w:asciiTheme="minorEastAsia" w:hAnsiTheme="minorEastAsia" w:eastAsiaTheme="minorEastAsia"/>
          <w:b w:val="0"/>
          <w:bCs w:val="0"/>
          <w:sz w:val="30"/>
          <w:szCs w:val="20"/>
        </w:rPr>
      </w:pPr>
    </w:p>
    <w:p w14:paraId="5CAF8C67"/>
    <w:p w14:paraId="56B78268"/>
    <w:p w14:paraId="202BCADB"/>
    <w:p w14:paraId="47E30912"/>
    <w:p w14:paraId="2546217F"/>
    <w:p w14:paraId="45897AF0">
      <w:pPr>
        <w:rPr>
          <w:rFonts w:asciiTheme="minorEastAsia" w:hAnsiTheme="minorEastAsia" w:eastAsiaTheme="minorEastAsia"/>
          <w:sz w:val="24"/>
          <w:szCs w:val="24"/>
        </w:rPr>
      </w:pPr>
      <w:r>
        <w:rPr>
          <w:rFonts w:asciiTheme="minorEastAsia" w:hAnsiTheme="minorEastAsia" w:eastAsiaTheme="minorEastAsia"/>
          <w:sz w:val="24"/>
          <w:szCs w:val="24"/>
        </w:rPr>
        <w:br w:type="page"/>
      </w:r>
    </w:p>
    <w:p w14:paraId="73914ACD">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附件5：</w:t>
      </w:r>
    </w:p>
    <w:p w14:paraId="47D350EF">
      <w:pPr>
        <w:rPr>
          <w:rFonts w:asciiTheme="minorEastAsia" w:hAnsiTheme="minorEastAsia" w:eastAsiaTheme="minorEastAsia"/>
          <w:sz w:val="24"/>
          <w:szCs w:val="24"/>
        </w:rPr>
      </w:pPr>
      <w:r>
        <w:rPr>
          <w:rFonts w:hint="eastAsia" w:eastAsiaTheme="minorEastAsia"/>
        </w:rPr>
        <w:drawing>
          <wp:inline distT="0" distB="0" distL="114300" distR="114300">
            <wp:extent cx="6501130" cy="3609975"/>
            <wp:effectExtent l="0" t="0" r="13970" b="9525"/>
            <wp:docPr id="4" name="图片 4" descr="荷塘校区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荷塘校区安装图"/>
                    <pic:cNvPicPr>
                      <a:picLocks noChangeAspect="1"/>
                    </pic:cNvPicPr>
                  </pic:nvPicPr>
                  <pic:blipFill>
                    <a:blip r:embed="rId6"/>
                    <a:stretch>
                      <a:fillRect/>
                    </a:stretch>
                  </pic:blipFill>
                  <pic:spPr>
                    <a:xfrm>
                      <a:off x="0" y="0"/>
                      <a:ext cx="6501130" cy="3609975"/>
                    </a:xfrm>
                    <a:prstGeom prst="rect">
                      <a:avLst/>
                    </a:prstGeom>
                  </pic:spPr>
                </pic:pic>
              </a:graphicData>
            </a:graphic>
          </wp:inline>
        </w:drawing>
      </w:r>
      <w:r>
        <w:rPr>
          <w:rFonts w:hint="eastAsia" w:eastAsiaTheme="minorEastAsia"/>
        </w:rPr>
        <w:drawing>
          <wp:inline distT="0" distB="0" distL="114300" distR="114300">
            <wp:extent cx="6457315" cy="4841875"/>
            <wp:effectExtent l="0" t="0" r="635" b="15875"/>
            <wp:docPr id="2" name="图片 2" descr="荷塘校区运动场西南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荷塘校区运动场西南角"/>
                    <pic:cNvPicPr>
                      <a:picLocks noChangeAspect="1"/>
                    </pic:cNvPicPr>
                  </pic:nvPicPr>
                  <pic:blipFill>
                    <a:blip r:embed="rId7"/>
                    <a:stretch>
                      <a:fillRect/>
                    </a:stretch>
                  </pic:blipFill>
                  <pic:spPr>
                    <a:xfrm>
                      <a:off x="0" y="0"/>
                      <a:ext cx="6457315" cy="4841875"/>
                    </a:xfrm>
                    <a:prstGeom prst="rect">
                      <a:avLst/>
                    </a:prstGeom>
                  </pic:spPr>
                </pic:pic>
              </a:graphicData>
            </a:graphic>
          </wp:inline>
        </w:drawing>
      </w:r>
      <w:r>
        <w:rPr>
          <w:rFonts w:hint="eastAsia" w:asciiTheme="minorEastAsia" w:hAnsiTheme="minorEastAsia" w:eastAsiaTheme="minorEastAsia"/>
          <w:sz w:val="24"/>
          <w:szCs w:val="24"/>
        </w:rPr>
        <w:br w:type="page"/>
      </w:r>
    </w:p>
    <w:p w14:paraId="438198EC">
      <w:pPr>
        <w:rPr>
          <w:rFonts w:asciiTheme="minorEastAsia" w:hAnsiTheme="minorEastAsia" w:eastAsiaTheme="minorEastAsia"/>
          <w:sz w:val="24"/>
          <w:szCs w:val="24"/>
        </w:rPr>
      </w:pPr>
      <w:r>
        <w:rPr>
          <w:rFonts w:hint="eastAsia" w:eastAsiaTheme="minorEastAsia"/>
        </w:rPr>
        <w:drawing>
          <wp:inline distT="0" distB="0" distL="114300" distR="114300">
            <wp:extent cx="5589270" cy="4404995"/>
            <wp:effectExtent l="0" t="0" r="0" b="0"/>
            <wp:docPr id="8" name="图片 8" descr="潮连校区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潮连校区安装图"/>
                    <pic:cNvPicPr>
                      <a:picLocks noChangeAspect="1"/>
                    </pic:cNvPicPr>
                  </pic:nvPicPr>
                  <pic:blipFill>
                    <a:blip r:embed="rId8"/>
                    <a:stretch>
                      <a:fillRect/>
                    </a:stretch>
                  </pic:blipFill>
                  <pic:spPr>
                    <a:xfrm>
                      <a:off x="0" y="0"/>
                      <a:ext cx="5588372" cy="4404192"/>
                    </a:xfrm>
                    <a:prstGeom prst="rect">
                      <a:avLst/>
                    </a:prstGeom>
                  </pic:spPr>
                </pic:pic>
              </a:graphicData>
            </a:graphic>
          </wp:inline>
        </w:drawing>
      </w:r>
      <w:r>
        <w:rPr>
          <w:rFonts w:hint="eastAsia" w:eastAsiaTheme="minorEastAsia"/>
        </w:rPr>
        <w:drawing>
          <wp:inline distT="0" distB="0" distL="114300" distR="114300">
            <wp:extent cx="5589270" cy="4190365"/>
            <wp:effectExtent l="0" t="0" r="0" b="635"/>
            <wp:docPr id="7" name="图片 7" descr="潮连运动场南角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潮连运动场南角位置"/>
                    <pic:cNvPicPr>
                      <a:picLocks noChangeAspect="1"/>
                    </pic:cNvPicPr>
                  </pic:nvPicPr>
                  <pic:blipFill>
                    <a:blip r:embed="rId9"/>
                    <a:stretch>
                      <a:fillRect/>
                    </a:stretch>
                  </pic:blipFill>
                  <pic:spPr>
                    <a:xfrm>
                      <a:off x="0" y="0"/>
                      <a:ext cx="5602237" cy="4200251"/>
                    </a:xfrm>
                    <a:prstGeom prst="rect">
                      <a:avLst/>
                    </a:prstGeom>
                  </pic:spPr>
                </pic:pic>
              </a:graphicData>
            </a:graphic>
          </wp:inline>
        </w:drawing>
      </w:r>
      <w:r>
        <w:rPr>
          <w:rFonts w:hint="eastAsia" w:eastAsiaTheme="minorEastAsia"/>
        </w:rPr>
        <w:drawing>
          <wp:inline distT="0" distB="0" distL="114300" distR="114300">
            <wp:extent cx="5732780" cy="4297680"/>
            <wp:effectExtent l="0" t="0" r="1270" b="7620"/>
            <wp:docPr id="5" name="图片 5" descr="潮连运动场北角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潮连运动场北角位置"/>
                    <pic:cNvPicPr>
                      <a:picLocks noChangeAspect="1"/>
                    </pic:cNvPicPr>
                  </pic:nvPicPr>
                  <pic:blipFill>
                    <a:blip r:embed="rId10"/>
                    <a:stretch>
                      <a:fillRect/>
                    </a:stretch>
                  </pic:blipFill>
                  <pic:spPr>
                    <a:xfrm>
                      <a:off x="0" y="0"/>
                      <a:ext cx="5734090" cy="4298954"/>
                    </a:xfrm>
                    <a:prstGeom prst="rect">
                      <a:avLst/>
                    </a:prstGeom>
                  </pic:spPr>
                </pic:pic>
              </a:graphicData>
            </a:graphic>
          </wp:inline>
        </w:drawing>
      </w:r>
    </w:p>
    <w:p w14:paraId="60D856FA">
      <w:pPr>
        <w:rPr>
          <w:rFonts w:eastAsiaTheme="minorEastAsia"/>
        </w:rPr>
      </w:pPr>
      <w:r>
        <w:rPr>
          <w:rFonts w:asciiTheme="minorEastAsia" w:hAnsiTheme="minorEastAsia" w:eastAsiaTheme="minorEastAsia"/>
          <w:sz w:val="24"/>
          <w:szCs w:val="24"/>
        </w:rPr>
        <w:br w:type="page"/>
      </w:r>
      <w:r>
        <w:rPr>
          <w:rFonts w:eastAsiaTheme="minorEastAsia"/>
        </w:rPr>
        <w:drawing>
          <wp:inline distT="0" distB="0" distL="114300" distR="114300">
            <wp:extent cx="2897505" cy="2988310"/>
            <wp:effectExtent l="0" t="0" r="17145" b="2540"/>
            <wp:docPr id="9" name="图片 9" descr="双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双杠"/>
                    <pic:cNvPicPr>
                      <a:picLocks noChangeAspect="1"/>
                    </pic:cNvPicPr>
                  </pic:nvPicPr>
                  <pic:blipFill>
                    <a:blip r:embed="rId11"/>
                    <a:stretch>
                      <a:fillRect/>
                    </a:stretch>
                  </pic:blipFill>
                  <pic:spPr>
                    <a:xfrm>
                      <a:off x="0" y="0"/>
                      <a:ext cx="2897505" cy="2988310"/>
                    </a:xfrm>
                    <a:prstGeom prst="rect">
                      <a:avLst/>
                    </a:prstGeom>
                  </pic:spPr>
                </pic:pic>
              </a:graphicData>
            </a:graphic>
          </wp:inline>
        </w:drawing>
      </w:r>
      <w:r>
        <w:rPr>
          <w:rFonts w:hint="eastAsia" w:eastAsiaTheme="minorEastAsia"/>
        </w:rPr>
        <w:t xml:space="preserve">   </w:t>
      </w:r>
      <w:r>
        <w:rPr>
          <w:rFonts w:hint="eastAsia" w:eastAsiaTheme="minorEastAsia"/>
        </w:rPr>
        <w:drawing>
          <wp:inline distT="0" distB="0" distL="114300" distR="114300">
            <wp:extent cx="2966085" cy="3007995"/>
            <wp:effectExtent l="0" t="0" r="5715" b="1905"/>
            <wp:docPr id="6" name="图片 6" descr="单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单杠"/>
                    <pic:cNvPicPr>
                      <a:picLocks noChangeAspect="1"/>
                    </pic:cNvPicPr>
                  </pic:nvPicPr>
                  <pic:blipFill>
                    <a:blip r:embed="rId12"/>
                    <a:stretch>
                      <a:fillRect/>
                    </a:stretch>
                  </pic:blipFill>
                  <pic:spPr>
                    <a:xfrm>
                      <a:off x="0" y="0"/>
                      <a:ext cx="2966085" cy="3007995"/>
                    </a:xfrm>
                    <a:prstGeom prst="rect">
                      <a:avLst/>
                    </a:prstGeom>
                  </pic:spPr>
                </pic:pic>
              </a:graphicData>
            </a:graphic>
          </wp:inline>
        </w:drawing>
      </w:r>
    </w:p>
    <w:p w14:paraId="4B58F7DC">
      <w:pPr>
        <w:rPr>
          <w:rFonts w:eastAsiaTheme="minorEastAsia"/>
        </w:rPr>
      </w:pPr>
    </w:p>
    <w:p w14:paraId="3B60FFBB">
      <w:pPr>
        <w:jc w:val="left"/>
        <w:rPr>
          <w:b/>
          <w:bCs/>
          <w:sz w:val="24"/>
          <w:szCs w:val="24"/>
        </w:rPr>
      </w:pPr>
      <w:r>
        <w:rPr>
          <w:rFonts w:hint="eastAsia"/>
          <w:b/>
          <w:bCs/>
          <w:sz w:val="24"/>
          <w:szCs w:val="24"/>
        </w:rPr>
        <w:t>注：单双杠样式仅供参考，投标人提供的商品需相同或优于项目清单的要求，并提供符合新国标：GB19272-2024的报告。</w:t>
      </w:r>
    </w:p>
    <w:p w14:paraId="5E00EDCA">
      <w:pPr>
        <w:rPr>
          <w:rFonts w:asciiTheme="minorEastAsia" w:hAnsiTheme="minorEastAsia" w:eastAsiaTheme="minorEastAsia"/>
          <w:sz w:val="24"/>
          <w:szCs w:val="24"/>
        </w:rPr>
      </w:pPr>
      <w:r>
        <w:rPr>
          <w:rFonts w:asciiTheme="minorEastAsia" w:hAnsiTheme="minorEastAsia" w:eastAsiaTheme="minorEastAsia"/>
          <w:sz w:val="24"/>
          <w:szCs w:val="24"/>
        </w:rPr>
        <w:br w:type="page"/>
      </w:r>
    </w:p>
    <w:p w14:paraId="05F857AF">
      <w:pPr>
        <w:widowControl/>
        <w:jc w:val="left"/>
        <w:rPr>
          <w:b/>
          <w:bCs/>
          <w:sz w:val="28"/>
          <w:szCs w:val="28"/>
        </w:rPr>
      </w:pPr>
      <w:r>
        <w:rPr>
          <w:b/>
          <w:bCs/>
          <w:sz w:val="28"/>
          <w:szCs w:val="28"/>
        </w:rPr>
        <w:drawing>
          <wp:inline distT="0" distB="0" distL="114300" distR="114300">
            <wp:extent cx="2808605" cy="4491355"/>
            <wp:effectExtent l="0" t="0" r="10795" b="4445"/>
            <wp:docPr id="11" name="图片 11" descr="橡胶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橡胶垫2"/>
                    <pic:cNvPicPr>
                      <a:picLocks noChangeAspect="1"/>
                    </pic:cNvPicPr>
                  </pic:nvPicPr>
                  <pic:blipFill>
                    <a:blip r:embed="rId13"/>
                    <a:stretch>
                      <a:fillRect/>
                    </a:stretch>
                  </pic:blipFill>
                  <pic:spPr>
                    <a:xfrm>
                      <a:off x="0" y="0"/>
                      <a:ext cx="2808605" cy="4491355"/>
                    </a:xfrm>
                    <a:prstGeom prst="rect">
                      <a:avLst/>
                    </a:prstGeom>
                  </pic:spPr>
                </pic:pic>
              </a:graphicData>
            </a:graphic>
          </wp:inline>
        </w:drawing>
      </w:r>
      <w:r>
        <w:rPr>
          <w:rFonts w:hint="eastAsia"/>
          <w:b/>
          <w:bCs/>
          <w:sz w:val="28"/>
          <w:szCs w:val="28"/>
        </w:rPr>
        <w:t xml:space="preserve">     </w:t>
      </w:r>
      <w:r>
        <w:rPr>
          <w:b/>
          <w:bCs/>
          <w:sz w:val="28"/>
          <w:szCs w:val="28"/>
        </w:rPr>
        <w:drawing>
          <wp:inline distT="0" distB="0" distL="114300" distR="114300">
            <wp:extent cx="2827020" cy="4491355"/>
            <wp:effectExtent l="0" t="0" r="11430" b="4445"/>
            <wp:docPr id="10" name="图片 10" descr="橡胶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橡胶垫1"/>
                    <pic:cNvPicPr>
                      <a:picLocks noChangeAspect="1"/>
                    </pic:cNvPicPr>
                  </pic:nvPicPr>
                  <pic:blipFill>
                    <a:blip r:embed="rId14"/>
                    <a:stretch>
                      <a:fillRect/>
                    </a:stretch>
                  </pic:blipFill>
                  <pic:spPr>
                    <a:xfrm>
                      <a:off x="0" y="0"/>
                      <a:ext cx="2827020" cy="4491355"/>
                    </a:xfrm>
                    <a:prstGeom prst="rect">
                      <a:avLst/>
                    </a:prstGeom>
                  </pic:spPr>
                </pic:pic>
              </a:graphicData>
            </a:graphic>
          </wp:inline>
        </w:drawing>
      </w:r>
    </w:p>
    <w:p w14:paraId="29673945">
      <w:pPr>
        <w:widowControl/>
        <w:jc w:val="left"/>
        <w:rPr>
          <w:b/>
          <w:bCs/>
          <w:sz w:val="28"/>
          <w:szCs w:val="28"/>
        </w:rPr>
      </w:pPr>
    </w:p>
    <w:p w14:paraId="1F032D75">
      <w:pPr>
        <w:widowControl/>
        <w:jc w:val="left"/>
        <w:rPr>
          <w:b/>
          <w:bCs/>
          <w:sz w:val="24"/>
          <w:szCs w:val="24"/>
        </w:rPr>
      </w:pPr>
      <w:r>
        <w:rPr>
          <w:rFonts w:hint="eastAsia"/>
          <w:b/>
          <w:bCs/>
          <w:sz w:val="24"/>
          <w:szCs w:val="24"/>
        </w:rPr>
        <w:t>注：保护橡胶垫样式仅供参考，投标人提供的商品需相同或优于项目清单的规格要求，并提供相应环保检测报告。</w:t>
      </w:r>
    </w:p>
    <w:p w14:paraId="18158EAA">
      <w:pPr>
        <w:rPr>
          <w:b/>
          <w:bCs/>
          <w:sz w:val="24"/>
          <w:szCs w:val="24"/>
        </w:rPr>
      </w:pPr>
      <w:r>
        <w:rPr>
          <w:rFonts w:hint="eastAsia"/>
          <w:b/>
          <w:bCs/>
          <w:sz w:val="24"/>
          <w:szCs w:val="24"/>
        </w:rPr>
        <w:br w:type="page"/>
      </w:r>
    </w:p>
    <w:p w14:paraId="729FC943">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附件6：</w:t>
      </w:r>
    </w:p>
    <w:tbl>
      <w:tblPr>
        <w:tblStyle w:val="13"/>
        <w:tblpPr w:leftFromText="180" w:rightFromText="180" w:vertAnchor="text" w:horzAnchor="page" w:tblpX="475" w:tblpY="725"/>
        <w:tblOverlap w:val="never"/>
        <w:tblW w:w="11100" w:type="dxa"/>
        <w:tblInd w:w="0" w:type="dxa"/>
        <w:tblLayout w:type="autofit"/>
        <w:tblCellMar>
          <w:top w:w="0" w:type="dxa"/>
          <w:left w:w="108" w:type="dxa"/>
          <w:bottom w:w="0" w:type="dxa"/>
          <w:right w:w="108" w:type="dxa"/>
        </w:tblCellMar>
      </w:tblPr>
      <w:tblGrid>
        <w:gridCol w:w="815"/>
        <w:gridCol w:w="2138"/>
        <w:gridCol w:w="3014"/>
        <w:gridCol w:w="815"/>
        <w:gridCol w:w="815"/>
        <w:gridCol w:w="1344"/>
        <w:gridCol w:w="1344"/>
        <w:gridCol w:w="815"/>
      </w:tblGrid>
      <w:tr w14:paraId="50811DAB">
        <w:tblPrEx>
          <w:tblCellMar>
            <w:top w:w="0" w:type="dxa"/>
            <w:left w:w="108" w:type="dxa"/>
            <w:bottom w:w="0" w:type="dxa"/>
            <w:right w:w="108" w:type="dxa"/>
          </w:tblCellMar>
        </w:tblPrEx>
        <w:trPr>
          <w:trHeight w:val="499" w:hRule="atLeast"/>
        </w:trPr>
        <w:tc>
          <w:tcPr>
            <w:tcW w:w="11100" w:type="dxa"/>
            <w:gridSpan w:val="8"/>
            <w:tcBorders>
              <w:top w:val="nil"/>
              <w:left w:val="nil"/>
              <w:bottom w:val="nil"/>
              <w:right w:val="nil"/>
            </w:tcBorders>
            <w:shd w:val="clear" w:color="auto" w:fill="auto"/>
            <w:noWrap/>
            <w:vAlign w:val="center"/>
          </w:tcPr>
          <w:p w14:paraId="0874E2D2">
            <w:pPr>
              <w:widowControl/>
              <w:jc w:val="center"/>
              <w:textAlignment w:val="center"/>
              <w:rPr>
                <w:rFonts w:ascii="宋体" w:hAnsi="宋体" w:eastAsia="宋体" w:cs="宋体"/>
                <w:b/>
                <w:bCs/>
                <w:color w:val="000000"/>
                <w:sz w:val="32"/>
                <w:szCs w:val="32"/>
              </w:rPr>
            </w:pPr>
            <w:r>
              <w:rPr>
                <w:rFonts w:hint="eastAsia" w:ascii="宋体" w:hAnsi="宋体" w:eastAsia="宋体" w:cs="宋体"/>
                <w:b/>
                <w:bCs/>
                <w:color w:val="000000"/>
                <w:kern w:val="0"/>
                <w:sz w:val="32"/>
                <w:szCs w:val="32"/>
                <w:lang w:bidi="ar"/>
              </w:rPr>
              <w:t>江门市技师学院</w:t>
            </w:r>
            <w:r>
              <w:rPr>
                <w:rStyle w:val="34"/>
                <w:rFonts w:hint="default"/>
                <w:u w:val="none"/>
                <w:lang w:bidi="ar"/>
              </w:rPr>
              <w:t>两校区单双杠体育设施建设</w:t>
            </w:r>
            <w:r>
              <w:rPr>
                <w:rStyle w:val="35"/>
                <w:rFonts w:hint="default"/>
                <w:lang w:bidi="ar"/>
              </w:rPr>
              <w:t>项目报价表</w:t>
            </w:r>
          </w:p>
        </w:tc>
      </w:tr>
      <w:tr w14:paraId="72E6490B">
        <w:tblPrEx>
          <w:tblCellMar>
            <w:top w:w="0" w:type="dxa"/>
            <w:left w:w="108" w:type="dxa"/>
            <w:bottom w:w="0" w:type="dxa"/>
            <w:right w:w="108" w:type="dxa"/>
          </w:tblCellMar>
        </w:tblPrEx>
        <w:trPr>
          <w:trHeight w:val="499" w:hRule="atLeast"/>
        </w:trPr>
        <w:tc>
          <w:tcPr>
            <w:tcW w:w="0" w:type="auto"/>
            <w:gridSpan w:val="8"/>
            <w:tcBorders>
              <w:top w:val="nil"/>
              <w:left w:val="nil"/>
              <w:bottom w:val="single" w:color="000000" w:sz="4" w:space="0"/>
              <w:right w:val="nil"/>
            </w:tcBorders>
            <w:shd w:val="clear" w:color="auto" w:fill="auto"/>
            <w:noWrap/>
            <w:vAlign w:val="center"/>
          </w:tcPr>
          <w:p w14:paraId="136989C4">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报价单位（盖章）：</w:t>
            </w:r>
          </w:p>
        </w:tc>
      </w:tr>
      <w:tr w14:paraId="7636F28F">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8DE2">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C1F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需求内容</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058E">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需求说明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EEF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FC9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A5D6">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E45F">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A56C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备注</w:t>
            </w:r>
          </w:p>
        </w:tc>
      </w:tr>
      <w:tr w14:paraId="34969AD7">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AA51">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一</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2057">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荷塘校区</w:t>
            </w:r>
          </w:p>
        </w:tc>
      </w:tr>
      <w:tr w14:paraId="5E87A98F">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AF30">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83AE">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清理草坪</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7A17">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1、人工清理草坪，地面找平。</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2、自卸汽车清运余泥。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3855">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0856">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30CB">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97C1">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9B50">
            <w:pPr>
              <w:jc w:val="center"/>
              <w:rPr>
                <w:rFonts w:ascii="宋体" w:hAnsi="宋体" w:eastAsia="宋体" w:cs="宋体"/>
                <w:color w:val="000000"/>
                <w:sz w:val="20"/>
              </w:rPr>
            </w:pPr>
          </w:p>
        </w:tc>
      </w:tr>
      <w:tr w14:paraId="30C8D90E">
        <w:tblPrEx>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F443">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840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基坑开挖</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B15A">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1、人工挖土。</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2、自卸汽车清运余泥。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0BE8">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A1DC">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8D3D">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2E83">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A646">
            <w:pPr>
              <w:jc w:val="center"/>
              <w:rPr>
                <w:rFonts w:ascii="宋体" w:hAnsi="宋体" w:eastAsia="宋体" w:cs="宋体"/>
                <w:color w:val="000000"/>
                <w:sz w:val="20"/>
              </w:rPr>
            </w:pPr>
          </w:p>
        </w:tc>
      </w:tr>
      <w:tr w14:paraId="3855E529">
        <w:tblPrEx>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8CF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B6F6">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混凝土基础浇注</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3910">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C30混凝土基础、人工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0253">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19FB3">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C1A3">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CC7C">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1C86">
            <w:pPr>
              <w:jc w:val="center"/>
              <w:rPr>
                <w:rFonts w:ascii="宋体" w:hAnsi="宋体" w:eastAsia="宋体" w:cs="宋体"/>
                <w:color w:val="000000"/>
                <w:sz w:val="20"/>
              </w:rPr>
            </w:pPr>
          </w:p>
        </w:tc>
      </w:tr>
      <w:tr w14:paraId="001989E5">
        <w:tblPrEx>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33ED">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ECC0">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保护砂池</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82D0">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50*50*300预制路沿石砌筑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CB43">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28B0C">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F205">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60E1">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BB51">
            <w:pPr>
              <w:jc w:val="center"/>
              <w:rPr>
                <w:rFonts w:ascii="宋体" w:hAnsi="宋体" w:eastAsia="宋体" w:cs="宋体"/>
                <w:color w:val="000000"/>
                <w:sz w:val="20"/>
              </w:rPr>
            </w:pPr>
          </w:p>
        </w:tc>
      </w:tr>
      <w:tr w14:paraId="372B1E4A">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B7A0">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504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石英砂</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6661">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运动场专用砂、人工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458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5C8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52A9A">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7B50">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3C5B">
            <w:pPr>
              <w:jc w:val="center"/>
              <w:rPr>
                <w:rFonts w:ascii="宋体" w:hAnsi="宋体" w:eastAsia="宋体" w:cs="宋体"/>
                <w:color w:val="000000"/>
                <w:sz w:val="20"/>
              </w:rPr>
            </w:pPr>
          </w:p>
        </w:tc>
      </w:tr>
      <w:tr w14:paraId="2A185AE9">
        <w:tblPrEx>
          <w:tblCellMar>
            <w:top w:w="0" w:type="dxa"/>
            <w:left w:w="108" w:type="dxa"/>
            <w:bottom w:w="0" w:type="dxa"/>
            <w:right w:w="108"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0655">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DF0C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单杠</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3F63">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1、新国标单杠健身器材（符合GB19272-2024标准）</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2、规格：高2300mm（从地面算起，不含深埋基础部分）、长1500mm、宽114mm。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FDB5">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E7F1">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4130">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A02E">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2BB0">
            <w:pPr>
              <w:jc w:val="center"/>
              <w:rPr>
                <w:rFonts w:ascii="宋体" w:hAnsi="宋体" w:eastAsia="宋体" w:cs="宋体"/>
                <w:color w:val="000000"/>
                <w:sz w:val="20"/>
              </w:rPr>
            </w:pPr>
          </w:p>
        </w:tc>
      </w:tr>
      <w:tr w14:paraId="2F47B64E">
        <w:tblPrEx>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E35E">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6D48">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双杠</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7619">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1、新国标单杠健身器材（符合GB19272-2024标准）</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2、规格：高1300mm（从地面算起，不含深埋基础部分）、长2500mm、宽800mm。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A5A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09E6">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FBDF">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F3D7">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B6F8">
            <w:pPr>
              <w:jc w:val="center"/>
              <w:rPr>
                <w:rFonts w:ascii="宋体" w:hAnsi="宋体" w:eastAsia="宋体" w:cs="宋体"/>
                <w:color w:val="000000"/>
                <w:sz w:val="20"/>
              </w:rPr>
            </w:pPr>
          </w:p>
        </w:tc>
      </w:tr>
      <w:tr w14:paraId="792E56C4">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0ADE">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二</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EA1A">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潮连校区</w:t>
            </w:r>
          </w:p>
        </w:tc>
      </w:tr>
      <w:tr w14:paraId="2691DCB0">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85B4">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F584B">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清理广场砖</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9E9C">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1、人工清理广场砖。</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2、自卸汽车清运余泥。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2F5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35B0">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1801">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9782">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7F81">
            <w:pPr>
              <w:jc w:val="center"/>
              <w:rPr>
                <w:rFonts w:ascii="宋体" w:hAnsi="宋体" w:eastAsia="宋体" w:cs="宋体"/>
                <w:color w:val="000000"/>
                <w:sz w:val="20"/>
              </w:rPr>
            </w:pPr>
          </w:p>
        </w:tc>
      </w:tr>
      <w:tr w14:paraId="354916CD">
        <w:tblPrEx>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0B7B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449E">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基坑开挖</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78DD">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1、人工挖土。</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2、自卸汽车清运余泥。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25E6">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6F93">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D6D8">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6015">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7148">
            <w:pPr>
              <w:jc w:val="center"/>
              <w:rPr>
                <w:rFonts w:ascii="宋体" w:hAnsi="宋体" w:eastAsia="宋体" w:cs="宋体"/>
                <w:color w:val="000000"/>
                <w:sz w:val="20"/>
              </w:rPr>
            </w:pPr>
          </w:p>
        </w:tc>
      </w:tr>
      <w:tr w14:paraId="7254A767">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61D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6798">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混凝土基础浇注</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5B2A">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C30混凝土基础、人工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8B1E">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8918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5BDDE">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E053">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F9E2">
            <w:pPr>
              <w:jc w:val="center"/>
              <w:rPr>
                <w:rFonts w:ascii="宋体" w:hAnsi="宋体" w:eastAsia="宋体" w:cs="宋体"/>
                <w:color w:val="000000"/>
                <w:sz w:val="20"/>
              </w:rPr>
            </w:pPr>
          </w:p>
        </w:tc>
      </w:tr>
      <w:tr w14:paraId="5608000E">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F618">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6030">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混凝土找平层</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1385">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60mm厚C30混凝土、人工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0512">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1B5E">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0E54">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C8E2">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AA1EE">
            <w:pPr>
              <w:jc w:val="center"/>
              <w:rPr>
                <w:rFonts w:ascii="宋体" w:hAnsi="宋体" w:eastAsia="宋体" w:cs="宋体"/>
                <w:color w:val="000000"/>
                <w:sz w:val="20"/>
              </w:rPr>
            </w:pPr>
          </w:p>
        </w:tc>
      </w:tr>
      <w:tr w14:paraId="0E888125">
        <w:tblPrEx>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ECD6">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4F3D">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保护橡胶地垫</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A9B6">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50*50*2.0cm环保高密度户外橡胶砖、人工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C448">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F72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F5F1">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11B8">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26855">
            <w:pPr>
              <w:jc w:val="center"/>
              <w:rPr>
                <w:rFonts w:ascii="宋体" w:hAnsi="宋体" w:eastAsia="宋体" w:cs="宋体"/>
                <w:color w:val="000000"/>
                <w:sz w:val="20"/>
              </w:rPr>
            </w:pPr>
          </w:p>
        </w:tc>
      </w:tr>
      <w:tr w14:paraId="759379A8">
        <w:tblPrEx>
          <w:tblCellMar>
            <w:top w:w="0" w:type="dxa"/>
            <w:left w:w="108" w:type="dxa"/>
            <w:bottom w:w="0" w:type="dxa"/>
            <w:right w:w="108" w:type="dxa"/>
          </w:tblCellMar>
        </w:tblPrEx>
        <w:trPr>
          <w:trHeight w:val="10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7044">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079B">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单杠</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C05D">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1、新国标单杠健身器材（符合GB19272-2024标准）</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2、规格：高2300mm（从地面算起，不含深埋基础部分）、长1500mm、宽114mm。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152D9">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569B">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7E34">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AB19">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8762F">
            <w:pPr>
              <w:jc w:val="center"/>
              <w:rPr>
                <w:rFonts w:ascii="宋体" w:hAnsi="宋体" w:eastAsia="宋体" w:cs="宋体"/>
                <w:color w:val="000000"/>
                <w:sz w:val="20"/>
              </w:rPr>
            </w:pPr>
          </w:p>
        </w:tc>
      </w:tr>
      <w:tr w14:paraId="02576F69">
        <w:tblPrEx>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4728">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5120">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双杠</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33C9">
            <w:pPr>
              <w:widowControl/>
              <w:jc w:val="left"/>
              <w:textAlignment w:val="center"/>
              <w:rPr>
                <w:rFonts w:ascii="宋体" w:hAnsi="宋体" w:eastAsia="宋体" w:cs="宋体"/>
                <w:color w:val="000000"/>
                <w:sz w:val="20"/>
              </w:rPr>
            </w:pPr>
            <w:r>
              <w:rPr>
                <w:rFonts w:hint="eastAsia" w:ascii="宋体" w:hAnsi="宋体" w:eastAsia="宋体" w:cs="宋体"/>
                <w:color w:val="000000"/>
                <w:kern w:val="0"/>
                <w:sz w:val="20"/>
                <w:lang w:bidi="ar"/>
              </w:rPr>
              <w:t>1、新国标单杠健身器材（符合GB19272-2024标准）</w:t>
            </w:r>
            <w:r>
              <w:rPr>
                <w:rFonts w:hint="eastAsia" w:ascii="宋体" w:hAnsi="宋体" w:eastAsia="宋体" w:cs="宋体"/>
                <w:color w:val="000000"/>
                <w:kern w:val="0"/>
                <w:sz w:val="20"/>
                <w:lang w:bidi="ar"/>
              </w:rPr>
              <w:br w:type="textWrapping"/>
            </w:r>
            <w:r>
              <w:rPr>
                <w:rFonts w:hint="eastAsia" w:ascii="宋体" w:hAnsi="宋体" w:eastAsia="宋体" w:cs="宋体"/>
                <w:color w:val="000000"/>
                <w:kern w:val="0"/>
                <w:sz w:val="20"/>
                <w:lang w:bidi="ar"/>
              </w:rPr>
              <w:t>2、规格：高1300mm（从地面算起，不含深埋基础部分）、长2500mm、宽800mm。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E4EA">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5526">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F66F">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FD54">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A9F2">
            <w:pPr>
              <w:jc w:val="center"/>
              <w:rPr>
                <w:rFonts w:ascii="宋体" w:hAnsi="宋体" w:eastAsia="宋体" w:cs="宋体"/>
                <w:color w:val="000000"/>
                <w:sz w:val="20"/>
              </w:rPr>
            </w:pPr>
          </w:p>
        </w:tc>
      </w:tr>
      <w:tr w14:paraId="4D202709">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D3E4">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三</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B74B">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27ED">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047F">
            <w:pPr>
              <w:jc w:val="center"/>
              <w:rPr>
                <w:rFonts w:ascii="宋体" w:hAnsi="宋体" w:eastAsia="宋体" w:cs="宋体"/>
                <w:color w:val="000000"/>
                <w:sz w:val="20"/>
              </w:rPr>
            </w:pPr>
          </w:p>
        </w:tc>
      </w:tr>
      <w:tr w14:paraId="31E44F4C">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67037">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A43BD">
            <w:pPr>
              <w:widowControl/>
              <w:jc w:val="center"/>
              <w:textAlignment w:val="center"/>
              <w:rPr>
                <w:rFonts w:ascii="宋体" w:hAnsi="宋体" w:eastAsia="宋体" w:cs="宋体"/>
                <w:color w:val="000000"/>
                <w:sz w:val="20"/>
              </w:rPr>
            </w:pPr>
            <w:r>
              <w:rPr>
                <w:rFonts w:hint="eastAsia" w:ascii="宋体" w:hAnsi="宋体" w:eastAsia="宋体" w:cs="宋体"/>
                <w:color w:val="000000"/>
                <w:kern w:val="0"/>
                <w:sz w:val="20"/>
                <w:lang w:bidi="ar"/>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0A8B">
            <w:pPr>
              <w:jc w:val="center"/>
              <w:rPr>
                <w:rFonts w:ascii="宋体" w:hAnsi="宋体" w:eastAsia="宋体" w:cs="宋体"/>
                <w:color w:val="000000"/>
                <w:sz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6469">
            <w:pPr>
              <w:jc w:val="center"/>
              <w:rPr>
                <w:rFonts w:ascii="宋体" w:hAnsi="宋体" w:eastAsia="宋体" w:cs="宋体"/>
                <w:color w:val="000000"/>
                <w:sz w:val="20"/>
              </w:rPr>
            </w:pPr>
          </w:p>
        </w:tc>
      </w:tr>
      <w:tr w14:paraId="6698F5E0">
        <w:tblPrEx>
          <w:tblCellMar>
            <w:top w:w="0" w:type="dxa"/>
            <w:left w:w="108" w:type="dxa"/>
            <w:bottom w:w="0" w:type="dxa"/>
            <w:right w:w="108" w:type="dxa"/>
          </w:tblCellMar>
        </w:tblPrEx>
        <w:trPr>
          <w:trHeight w:val="38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2290B">
            <w:pPr>
              <w:widowControl/>
              <w:jc w:val="right"/>
              <w:textAlignment w:val="center"/>
              <w:rPr>
                <w:rFonts w:ascii="宋体" w:hAnsi="宋体" w:eastAsia="宋体" w:cs="宋体"/>
                <w:color w:val="000000"/>
                <w:sz w:val="20"/>
              </w:rPr>
            </w:pPr>
            <w:r>
              <w:rPr>
                <w:rFonts w:hint="eastAsia" w:ascii="宋体" w:hAnsi="宋体" w:eastAsia="宋体" w:cs="宋体"/>
                <w:color w:val="000000"/>
                <w:kern w:val="0"/>
                <w:sz w:val="20"/>
                <w:lang w:bidi="ar"/>
              </w:rPr>
              <w:t>总金额：</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7C9A">
            <w:pPr>
              <w:jc w:val="center"/>
              <w:rPr>
                <w:rFonts w:ascii="宋体" w:hAnsi="宋体" w:eastAsia="宋体" w:cs="宋体"/>
                <w:color w:val="000000"/>
                <w:sz w:val="20"/>
              </w:rPr>
            </w:pPr>
          </w:p>
        </w:tc>
      </w:tr>
      <w:tr w14:paraId="18DEE380">
        <w:tblPrEx>
          <w:tblCellMar>
            <w:top w:w="0" w:type="dxa"/>
            <w:left w:w="108" w:type="dxa"/>
            <w:bottom w:w="0" w:type="dxa"/>
            <w:right w:w="108" w:type="dxa"/>
          </w:tblCellMar>
        </w:tblPrEx>
        <w:trPr>
          <w:trHeight w:val="420" w:hRule="atLeast"/>
        </w:trPr>
        <w:tc>
          <w:tcPr>
            <w:tcW w:w="0" w:type="auto"/>
            <w:gridSpan w:val="8"/>
            <w:tcBorders>
              <w:top w:val="single" w:color="000000" w:sz="4" w:space="0"/>
              <w:left w:val="nil"/>
              <w:bottom w:val="nil"/>
              <w:right w:val="nil"/>
            </w:tcBorders>
            <w:shd w:val="clear" w:color="auto" w:fill="auto"/>
            <w:noWrap/>
            <w:vAlign w:val="center"/>
          </w:tcPr>
          <w:p w14:paraId="4503581D">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备注：工程类和服务类项目适用</w:t>
            </w:r>
          </w:p>
        </w:tc>
      </w:tr>
      <w:tr w14:paraId="1E51DF2E">
        <w:tblPrEx>
          <w:tblCellMar>
            <w:top w:w="0" w:type="dxa"/>
            <w:left w:w="108" w:type="dxa"/>
            <w:bottom w:w="0" w:type="dxa"/>
            <w:right w:w="108" w:type="dxa"/>
          </w:tblCellMar>
        </w:tblPrEx>
        <w:trPr>
          <w:trHeight w:val="570" w:hRule="atLeast"/>
        </w:trPr>
        <w:tc>
          <w:tcPr>
            <w:tcW w:w="0" w:type="auto"/>
            <w:gridSpan w:val="8"/>
            <w:tcBorders>
              <w:top w:val="nil"/>
              <w:left w:val="nil"/>
              <w:bottom w:val="nil"/>
              <w:right w:val="nil"/>
            </w:tcBorders>
            <w:shd w:val="clear" w:color="auto" w:fill="auto"/>
            <w:noWrap/>
            <w:vAlign w:val="center"/>
          </w:tcPr>
          <w:p w14:paraId="4DB50C61">
            <w:pPr>
              <w:widowControl/>
              <w:jc w:val="righ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报价时间：   年   月   日</w:t>
            </w:r>
          </w:p>
        </w:tc>
      </w:tr>
    </w:tbl>
    <w:p w14:paraId="01ADC92A">
      <w:pPr>
        <w:widowControl/>
        <w:jc w:val="left"/>
        <w:rPr>
          <w:rFonts w:asciiTheme="minorEastAsia" w:hAnsiTheme="minorEastAsia" w:eastAsiaTheme="minorEastAsia" w:cstheme="minorEastAsia"/>
          <w:sz w:val="24"/>
          <w:szCs w:val="24"/>
        </w:rPr>
      </w:pPr>
    </w:p>
    <w:sectPr>
      <w:pgSz w:w="11906" w:h="16838"/>
      <w:pgMar w:top="1077" w:right="1077" w:bottom="1077" w:left="1077" w:header="851" w:footer="992" w:gutter="0"/>
      <w:cols w:space="425" w:num="1"/>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50"/>
  <w:drawingGridVerticalSpacing w:val="204"/>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ZGJmNWVjODY5NzZjMWJlMmE1ZjY1MzVmNzA0MGMifQ=="/>
  </w:docVars>
  <w:rsids>
    <w:rsidRoot w:val="00DB26D3"/>
    <w:rsid w:val="00015248"/>
    <w:rsid w:val="0002541C"/>
    <w:rsid w:val="00025F74"/>
    <w:rsid w:val="00030AFB"/>
    <w:rsid w:val="00054AE8"/>
    <w:rsid w:val="000560E4"/>
    <w:rsid w:val="00057FCF"/>
    <w:rsid w:val="000616E7"/>
    <w:rsid w:val="0006419E"/>
    <w:rsid w:val="0006530A"/>
    <w:rsid w:val="00065C07"/>
    <w:rsid w:val="000661A1"/>
    <w:rsid w:val="00076414"/>
    <w:rsid w:val="000841DE"/>
    <w:rsid w:val="00096A11"/>
    <w:rsid w:val="000B17E1"/>
    <w:rsid w:val="000B2EF5"/>
    <w:rsid w:val="000C49CF"/>
    <w:rsid w:val="000C60E9"/>
    <w:rsid w:val="000D2953"/>
    <w:rsid w:val="000E2B32"/>
    <w:rsid w:val="000E3FAD"/>
    <w:rsid w:val="000E4278"/>
    <w:rsid w:val="000F48DF"/>
    <w:rsid w:val="000F63D2"/>
    <w:rsid w:val="00100048"/>
    <w:rsid w:val="001038BA"/>
    <w:rsid w:val="001043A0"/>
    <w:rsid w:val="001072FB"/>
    <w:rsid w:val="00115863"/>
    <w:rsid w:val="00117FD7"/>
    <w:rsid w:val="001423F2"/>
    <w:rsid w:val="001479E1"/>
    <w:rsid w:val="001509F5"/>
    <w:rsid w:val="001524FF"/>
    <w:rsid w:val="00156622"/>
    <w:rsid w:val="00164153"/>
    <w:rsid w:val="00164DEC"/>
    <w:rsid w:val="00165283"/>
    <w:rsid w:val="00175ABB"/>
    <w:rsid w:val="00186BEA"/>
    <w:rsid w:val="0019108D"/>
    <w:rsid w:val="001A1955"/>
    <w:rsid w:val="001B2603"/>
    <w:rsid w:val="001B6F70"/>
    <w:rsid w:val="001B7692"/>
    <w:rsid w:val="001C0B0A"/>
    <w:rsid w:val="001C6D96"/>
    <w:rsid w:val="001D5722"/>
    <w:rsid w:val="001E4817"/>
    <w:rsid w:val="001F0622"/>
    <w:rsid w:val="002013B7"/>
    <w:rsid w:val="00210A66"/>
    <w:rsid w:val="00215B61"/>
    <w:rsid w:val="00234015"/>
    <w:rsid w:val="002470F5"/>
    <w:rsid w:val="00247830"/>
    <w:rsid w:val="00247E43"/>
    <w:rsid w:val="00252047"/>
    <w:rsid w:val="00254B63"/>
    <w:rsid w:val="0026214B"/>
    <w:rsid w:val="0026500B"/>
    <w:rsid w:val="00265979"/>
    <w:rsid w:val="002808D2"/>
    <w:rsid w:val="002827A0"/>
    <w:rsid w:val="00293695"/>
    <w:rsid w:val="002A316C"/>
    <w:rsid w:val="002A5B55"/>
    <w:rsid w:val="002B2219"/>
    <w:rsid w:val="002C048F"/>
    <w:rsid w:val="002C328E"/>
    <w:rsid w:val="002C5512"/>
    <w:rsid w:val="002D4F62"/>
    <w:rsid w:val="002D6887"/>
    <w:rsid w:val="002D71B0"/>
    <w:rsid w:val="002E6F37"/>
    <w:rsid w:val="002F19F5"/>
    <w:rsid w:val="002F2585"/>
    <w:rsid w:val="002F40F9"/>
    <w:rsid w:val="00311254"/>
    <w:rsid w:val="00315758"/>
    <w:rsid w:val="003230E6"/>
    <w:rsid w:val="00323D96"/>
    <w:rsid w:val="003249DC"/>
    <w:rsid w:val="00324D75"/>
    <w:rsid w:val="00325F80"/>
    <w:rsid w:val="00326E3D"/>
    <w:rsid w:val="00332EAA"/>
    <w:rsid w:val="00337CEF"/>
    <w:rsid w:val="00357BB4"/>
    <w:rsid w:val="003620DB"/>
    <w:rsid w:val="0036596C"/>
    <w:rsid w:val="00374EB0"/>
    <w:rsid w:val="0039383A"/>
    <w:rsid w:val="003A1BB2"/>
    <w:rsid w:val="003A4FAA"/>
    <w:rsid w:val="003B2E73"/>
    <w:rsid w:val="003C115C"/>
    <w:rsid w:val="003C6FA4"/>
    <w:rsid w:val="003D0E85"/>
    <w:rsid w:val="003F371D"/>
    <w:rsid w:val="003F5E38"/>
    <w:rsid w:val="003F6536"/>
    <w:rsid w:val="004028EA"/>
    <w:rsid w:val="004072EB"/>
    <w:rsid w:val="0041433C"/>
    <w:rsid w:val="00414888"/>
    <w:rsid w:val="00415910"/>
    <w:rsid w:val="00416FB1"/>
    <w:rsid w:val="00425C9C"/>
    <w:rsid w:val="00426D72"/>
    <w:rsid w:val="00442147"/>
    <w:rsid w:val="00445E62"/>
    <w:rsid w:val="00474E90"/>
    <w:rsid w:val="00485684"/>
    <w:rsid w:val="004A422B"/>
    <w:rsid w:val="004A6383"/>
    <w:rsid w:val="004B7974"/>
    <w:rsid w:val="004C2127"/>
    <w:rsid w:val="004C7405"/>
    <w:rsid w:val="004D27DB"/>
    <w:rsid w:val="004E3164"/>
    <w:rsid w:val="004F75D6"/>
    <w:rsid w:val="00510360"/>
    <w:rsid w:val="005141DE"/>
    <w:rsid w:val="00522248"/>
    <w:rsid w:val="00525C1F"/>
    <w:rsid w:val="00527316"/>
    <w:rsid w:val="00532BBD"/>
    <w:rsid w:val="00537BE5"/>
    <w:rsid w:val="0054645F"/>
    <w:rsid w:val="005465FC"/>
    <w:rsid w:val="005550AA"/>
    <w:rsid w:val="005642C1"/>
    <w:rsid w:val="0056775F"/>
    <w:rsid w:val="005721D6"/>
    <w:rsid w:val="00572778"/>
    <w:rsid w:val="0057742C"/>
    <w:rsid w:val="00591BCC"/>
    <w:rsid w:val="005955A8"/>
    <w:rsid w:val="005B04DC"/>
    <w:rsid w:val="005B1DC7"/>
    <w:rsid w:val="005B3F4C"/>
    <w:rsid w:val="005B4E00"/>
    <w:rsid w:val="005C2914"/>
    <w:rsid w:val="005C43FE"/>
    <w:rsid w:val="005D4066"/>
    <w:rsid w:val="005E43A2"/>
    <w:rsid w:val="005F4E37"/>
    <w:rsid w:val="00612FE4"/>
    <w:rsid w:val="00623AB2"/>
    <w:rsid w:val="00626F10"/>
    <w:rsid w:val="00633E8A"/>
    <w:rsid w:val="00634CD2"/>
    <w:rsid w:val="00647274"/>
    <w:rsid w:val="0065516E"/>
    <w:rsid w:val="00656251"/>
    <w:rsid w:val="00661FAC"/>
    <w:rsid w:val="0066246C"/>
    <w:rsid w:val="00663CAA"/>
    <w:rsid w:val="0066524B"/>
    <w:rsid w:val="00665C87"/>
    <w:rsid w:val="00672E68"/>
    <w:rsid w:val="00674B0C"/>
    <w:rsid w:val="006846F1"/>
    <w:rsid w:val="00685423"/>
    <w:rsid w:val="00692568"/>
    <w:rsid w:val="006A6C40"/>
    <w:rsid w:val="006C0DF3"/>
    <w:rsid w:val="006C2538"/>
    <w:rsid w:val="006C733E"/>
    <w:rsid w:val="006D7408"/>
    <w:rsid w:val="00711C55"/>
    <w:rsid w:val="007261C1"/>
    <w:rsid w:val="007267E6"/>
    <w:rsid w:val="0073026A"/>
    <w:rsid w:val="00746054"/>
    <w:rsid w:val="007545AF"/>
    <w:rsid w:val="00754698"/>
    <w:rsid w:val="0076406E"/>
    <w:rsid w:val="007764AD"/>
    <w:rsid w:val="007765B5"/>
    <w:rsid w:val="00784201"/>
    <w:rsid w:val="00785C93"/>
    <w:rsid w:val="0079269A"/>
    <w:rsid w:val="00793B14"/>
    <w:rsid w:val="00797597"/>
    <w:rsid w:val="007B09A6"/>
    <w:rsid w:val="007C22DA"/>
    <w:rsid w:val="007D2E71"/>
    <w:rsid w:val="007D3C1B"/>
    <w:rsid w:val="007D5D6B"/>
    <w:rsid w:val="007E70EC"/>
    <w:rsid w:val="007F089F"/>
    <w:rsid w:val="007F5576"/>
    <w:rsid w:val="007F5EF5"/>
    <w:rsid w:val="0080157A"/>
    <w:rsid w:val="008033FD"/>
    <w:rsid w:val="00806533"/>
    <w:rsid w:val="00814B4C"/>
    <w:rsid w:val="00815AA2"/>
    <w:rsid w:val="00847044"/>
    <w:rsid w:val="00852AA1"/>
    <w:rsid w:val="008554B7"/>
    <w:rsid w:val="0085704C"/>
    <w:rsid w:val="00866A51"/>
    <w:rsid w:val="00866FC5"/>
    <w:rsid w:val="00871918"/>
    <w:rsid w:val="00874A20"/>
    <w:rsid w:val="00880064"/>
    <w:rsid w:val="00882FC8"/>
    <w:rsid w:val="00896EB6"/>
    <w:rsid w:val="00897CAE"/>
    <w:rsid w:val="008A20BB"/>
    <w:rsid w:val="008A5149"/>
    <w:rsid w:val="008B3A61"/>
    <w:rsid w:val="008B60E9"/>
    <w:rsid w:val="008C04F4"/>
    <w:rsid w:val="008C379D"/>
    <w:rsid w:val="008D6EDE"/>
    <w:rsid w:val="008E4D2E"/>
    <w:rsid w:val="008E5E75"/>
    <w:rsid w:val="008E7EFD"/>
    <w:rsid w:val="008F5291"/>
    <w:rsid w:val="008F5394"/>
    <w:rsid w:val="009340D8"/>
    <w:rsid w:val="00941757"/>
    <w:rsid w:val="009420B4"/>
    <w:rsid w:val="0095041E"/>
    <w:rsid w:val="00954EC3"/>
    <w:rsid w:val="00957892"/>
    <w:rsid w:val="00963702"/>
    <w:rsid w:val="0096405F"/>
    <w:rsid w:val="00976F65"/>
    <w:rsid w:val="00981D79"/>
    <w:rsid w:val="009A2D57"/>
    <w:rsid w:val="009A3702"/>
    <w:rsid w:val="009A6AF1"/>
    <w:rsid w:val="009B4ACC"/>
    <w:rsid w:val="009C33B0"/>
    <w:rsid w:val="009C61D3"/>
    <w:rsid w:val="009E77A8"/>
    <w:rsid w:val="009F238E"/>
    <w:rsid w:val="009F4789"/>
    <w:rsid w:val="009F5CE2"/>
    <w:rsid w:val="00A06FDC"/>
    <w:rsid w:val="00A10B96"/>
    <w:rsid w:val="00A114FB"/>
    <w:rsid w:val="00A146C1"/>
    <w:rsid w:val="00A16864"/>
    <w:rsid w:val="00A23B5C"/>
    <w:rsid w:val="00A2739E"/>
    <w:rsid w:val="00A35103"/>
    <w:rsid w:val="00A4438C"/>
    <w:rsid w:val="00A63E97"/>
    <w:rsid w:val="00A749C6"/>
    <w:rsid w:val="00A74F93"/>
    <w:rsid w:val="00A81938"/>
    <w:rsid w:val="00A863B1"/>
    <w:rsid w:val="00AA5C02"/>
    <w:rsid w:val="00AB233D"/>
    <w:rsid w:val="00AB3D4F"/>
    <w:rsid w:val="00AB7FCD"/>
    <w:rsid w:val="00AC622A"/>
    <w:rsid w:val="00AD1ED8"/>
    <w:rsid w:val="00AD5731"/>
    <w:rsid w:val="00AE20BF"/>
    <w:rsid w:val="00B06D2D"/>
    <w:rsid w:val="00B14DED"/>
    <w:rsid w:val="00B24050"/>
    <w:rsid w:val="00B25ECE"/>
    <w:rsid w:val="00B3556A"/>
    <w:rsid w:val="00B47254"/>
    <w:rsid w:val="00B633FF"/>
    <w:rsid w:val="00B75907"/>
    <w:rsid w:val="00B87395"/>
    <w:rsid w:val="00B947E4"/>
    <w:rsid w:val="00B9775D"/>
    <w:rsid w:val="00BA1E47"/>
    <w:rsid w:val="00BB0339"/>
    <w:rsid w:val="00BB08A2"/>
    <w:rsid w:val="00BC2BBF"/>
    <w:rsid w:val="00BC450B"/>
    <w:rsid w:val="00BE627B"/>
    <w:rsid w:val="00C128D1"/>
    <w:rsid w:val="00C26C0C"/>
    <w:rsid w:val="00C318F9"/>
    <w:rsid w:val="00C32309"/>
    <w:rsid w:val="00C324C1"/>
    <w:rsid w:val="00C34133"/>
    <w:rsid w:val="00C45186"/>
    <w:rsid w:val="00C60782"/>
    <w:rsid w:val="00C72282"/>
    <w:rsid w:val="00C86E91"/>
    <w:rsid w:val="00C874E9"/>
    <w:rsid w:val="00C87C35"/>
    <w:rsid w:val="00C90CA1"/>
    <w:rsid w:val="00C940F3"/>
    <w:rsid w:val="00CA00EE"/>
    <w:rsid w:val="00CA6C3F"/>
    <w:rsid w:val="00CB2076"/>
    <w:rsid w:val="00CB4FEE"/>
    <w:rsid w:val="00CD02F3"/>
    <w:rsid w:val="00CD2908"/>
    <w:rsid w:val="00CD4255"/>
    <w:rsid w:val="00CD532E"/>
    <w:rsid w:val="00CD6CFE"/>
    <w:rsid w:val="00CE75EF"/>
    <w:rsid w:val="00CF1255"/>
    <w:rsid w:val="00CF1ECC"/>
    <w:rsid w:val="00CF6789"/>
    <w:rsid w:val="00D0689F"/>
    <w:rsid w:val="00D10B68"/>
    <w:rsid w:val="00D35B00"/>
    <w:rsid w:val="00D378F4"/>
    <w:rsid w:val="00D403D5"/>
    <w:rsid w:val="00D4141A"/>
    <w:rsid w:val="00D4273C"/>
    <w:rsid w:val="00D4637C"/>
    <w:rsid w:val="00D57072"/>
    <w:rsid w:val="00D63113"/>
    <w:rsid w:val="00D72B4C"/>
    <w:rsid w:val="00D8162C"/>
    <w:rsid w:val="00D830C7"/>
    <w:rsid w:val="00D84785"/>
    <w:rsid w:val="00D92EE7"/>
    <w:rsid w:val="00DA163E"/>
    <w:rsid w:val="00DA216E"/>
    <w:rsid w:val="00DA4758"/>
    <w:rsid w:val="00DA53F1"/>
    <w:rsid w:val="00DA5556"/>
    <w:rsid w:val="00DB110F"/>
    <w:rsid w:val="00DB26D3"/>
    <w:rsid w:val="00DB6331"/>
    <w:rsid w:val="00DB7D35"/>
    <w:rsid w:val="00DC0F61"/>
    <w:rsid w:val="00DC587F"/>
    <w:rsid w:val="00DC6146"/>
    <w:rsid w:val="00DE25BF"/>
    <w:rsid w:val="00DE26B3"/>
    <w:rsid w:val="00DE4F8C"/>
    <w:rsid w:val="00DF5FC3"/>
    <w:rsid w:val="00E00798"/>
    <w:rsid w:val="00E352EC"/>
    <w:rsid w:val="00E40157"/>
    <w:rsid w:val="00E45085"/>
    <w:rsid w:val="00E46FE3"/>
    <w:rsid w:val="00E5441E"/>
    <w:rsid w:val="00E632F8"/>
    <w:rsid w:val="00E75851"/>
    <w:rsid w:val="00E83C19"/>
    <w:rsid w:val="00E83DD9"/>
    <w:rsid w:val="00E86442"/>
    <w:rsid w:val="00E86A14"/>
    <w:rsid w:val="00E943EC"/>
    <w:rsid w:val="00EA2209"/>
    <w:rsid w:val="00EA359B"/>
    <w:rsid w:val="00EB5D23"/>
    <w:rsid w:val="00EB71D4"/>
    <w:rsid w:val="00EB7259"/>
    <w:rsid w:val="00EC77D6"/>
    <w:rsid w:val="00ED0693"/>
    <w:rsid w:val="00ED0A64"/>
    <w:rsid w:val="00ED11D2"/>
    <w:rsid w:val="00EE2F9C"/>
    <w:rsid w:val="00EE4E23"/>
    <w:rsid w:val="00EF5DA5"/>
    <w:rsid w:val="00F15A75"/>
    <w:rsid w:val="00F36D06"/>
    <w:rsid w:val="00F374A9"/>
    <w:rsid w:val="00F74B66"/>
    <w:rsid w:val="00F755DF"/>
    <w:rsid w:val="00F827C0"/>
    <w:rsid w:val="00F82F18"/>
    <w:rsid w:val="00F87540"/>
    <w:rsid w:val="00F919FE"/>
    <w:rsid w:val="00FA03D0"/>
    <w:rsid w:val="00FB7815"/>
    <w:rsid w:val="00FC0C71"/>
    <w:rsid w:val="00FC1E1C"/>
    <w:rsid w:val="00FD0439"/>
    <w:rsid w:val="00FD74BD"/>
    <w:rsid w:val="00FE2A59"/>
    <w:rsid w:val="026954E1"/>
    <w:rsid w:val="05D52188"/>
    <w:rsid w:val="08536A17"/>
    <w:rsid w:val="0E9E654C"/>
    <w:rsid w:val="0F8044DB"/>
    <w:rsid w:val="10284558"/>
    <w:rsid w:val="10E96744"/>
    <w:rsid w:val="1606156C"/>
    <w:rsid w:val="166560CF"/>
    <w:rsid w:val="1BF105C9"/>
    <w:rsid w:val="226C4038"/>
    <w:rsid w:val="2AC96528"/>
    <w:rsid w:val="2B715E98"/>
    <w:rsid w:val="333102CB"/>
    <w:rsid w:val="35A47211"/>
    <w:rsid w:val="3C8B3CCA"/>
    <w:rsid w:val="41652D3C"/>
    <w:rsid w:val="42E6622B"/>
    <w:rsid w:val="478B2DD0"/>
    <w:rsid w:val="4A7E77B4"/>
    <w:rsid w:val="525F10E1"/>
    <w:rsid w:val="53E038FA"/>
    <w:rsid w:val="57C136CD"/>
    <w:rsid w:val="59D91176"/>
    <w:rsid w:val="5A47624E"/>
    <w:rsid w:val="5DF73A74"/>
    <w:rsid w:val="63D620AC"/>
    <w:rsid w:val="67851192"/>
    <w:rsid w:val="68193A36"/>
    <w:rsid w:val="6D472932"/>
    <w:rsid w:val="71A31C23"/>
    <w:rsid w:val="73C97613"/>
    <w:rsid w:val="7A201B55"/>
    <w:rsid w:val="7F1A68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lang w:val="en-US" w:eastAsia="zh-CN" w:bidi="ar-SA"/>
    </w:rPr>
  </w:style>
  <w:style w:type="paragraph" w:styleId="2">
    <w:name w:val="heading 3"/>
    <w:basedOn w:val="1"/>
    <w:next w:val="1"/>
    <w:link w:val="26"/>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31"/>
    <w:semiHidden/>
    <w:unhideWhenUsed/>
    <w:qFormat/>
    <w:uiPriority w:val="99"/>
    <w:pPr>
      <w:spacing w:after="120"/>
    </w:pPr>
  </w:style>
  <w:style w:type="paragraph" w:styleId="4">
    <w:name w:val="Body Text Indent"/>
    <w:basedOn w:val="1"/>
    <w:link w:val="29"/>
    <w:semiHidden/>
    <w:unhideWhenUsed/>
    <w:qFormat/>
    <w:uiPriority w:val="99"/>
    <w:pPr>
      <w:spacing w:after="120"/>
      <w:ind w:left="420" w:leftChars="200"/>
    </w:pPr>
  </w:style>
  <w:style w:type="paragraph" w:styleId="5">
    <w:name w:val="toc 3"/>
    <w:basedOn w:val="1"/>
    <w:next w:val="1"/>
    <w:qFormat/>
    <w:uiPriority w:val="39"/>
    <w:pPr>
      <w:tabs>
        <w:tab w:val="left" w:pos="720"/>
        <w:tab w:val="left" w:pos="1155"/>
        <w:tab w:val="right" w:leader="dot" w:pos="9351"/>
      </w:tabs>
      <w:spacing w:line="400" w:lineRule="exact"/>
      <w:ind w:left="180"/>
      <w:jc w:val="left"/>
    </w:pPr>
    <w:rPr>
      <w:rFonts w:ascii="宋体" w:hAnsi="宋体" w:eastAsia="宋体"/>
      <w:bCs/>
      <w:sz w:val="24"/>
      <w:szCs w:val="24"/>
    </w:rPr>
  </w:style>
  <w:style w:type="paragraph" w:styleId="6">
    <w:name w:val="Plain Text"/>
    <w:basedOn w:val="1"/>
    <w:link w:val="16"/>
    <w:qFormat/>
    <w:uiPriority w:val="0"/>
    <w:rPr>
      <w:rFonts w:ascii="宋体" w:hAnsi="Courier New" w:eastAsia="宋体" w:cstheme="minorBidi"/>
      <w:sz w:val="21"/>
      <w:szCs w:val="22"/>
    </w:rPr>
  </w:style>
  <w:style w:type="paragraph" w:styleId="7">
    <w:name w:val="Balloon Text"/>
    <w:basedOn w:val="1"/>
    <w:link w:val="27"/>
    <w:semiHidden/>
    <w:unhideWhenUsed/>
    <w:qFormat/>
    <w:uiPriority w:val="99"/>
    <w:rPr>
      <w:sz w:val="18"/>
      <w:szCs w:val="18"/>
    </w:rPr>
  </w:style>
  <w:style w:type="paragraph" w:styleId="8">
    <w:name w:val="footer"/>
    <w:basedOn w:val="1"/>
    <w:link w:val="20"/>
    <w:unhideWhenUsed/>
    <w:qFormat/>
    <w:uiPriority w:val="0"/>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after="150"/>
      <w:jc w:val="left"/>
    </w:pPr>
    <w:rPr>
      <w:rFonts w:ascii="宋体" w:hAnsi="宋体" w:eastAsia="宋体" w:cs="宋体"/>
      <w:kern w:val="0"/>
      <w:sz w:val="24"/>
      <w:szCs w:val="24"/>
    </w:rPr>
  </w:style>
  <w:style w:type="paragraph" w:styleId="11">
    <w:name w:val="Title"/>
    <w:basedOn w:val="1"/>
    <w:next w:val="1"/>
    <w:link w:val="25"/>
    <w:qFormat/>
    <w:uiPriority w:val="0"/>
    <w:pPr>
      <w:spacing w:before="240" w:after="60"/>
      <w:jc w:val="center"/>
      <w:outlineLvl w:val="0"/>
    </w:pPr>
    <w:rPr>
      <w:rFonts w:ascii="Cambria" w:hAnsi="Cambria" w:eastAsia="宋体"/>
      <w:b/>
      <w:bCs/>
      <w:sz w:val="32"/>
      <w:szCs w:val="32"/>
    </w:rPr>
  </w:style>
  <w:style w:type="paragraph" w:styleId="12">
    <w:name w:val="Body Text First Indent 2"/>
    <w:basedOn w:val="4"/>
    <w:link w:val="30"/>
    <w:qFormat/>
    <w:uiPriority w:val="0"/>
    <w:pPr>
      <w:autoSpaceDE w:val="0"/>
      <w:autoSpaceDN w:val="0"/>
      <w:adjustRightInd w:val="0"/>
      <w:spacing w:after="0" w:line="480" w:lineRule="exact"/>
      <w:ind w:left="850" w:leftChars="0" w:firstLine="420" w:firstLineChars="200"/>
      <w:textAlignment w:val="baseline"/>
    </w:pPr>
    <w:rPr>
      <w:rFonts w:ascii="仿宋_GB2312"/>
      <w:kern w:val="0"/>
      <w:sz w:val="28"/>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纯文本 Char"/>
    <w:link w:val="6"/>
    <w:qFormat/>
    <w:uiPriority w:val="0"/>
    <w:rPr>
      <w:rFonts w:ascii="宋体" w:hAnsi="Courier New" w:eastAsia="宋体"/>
    </w:rPr>
  </w:style>
  <w:style w:type="paragraph" w:customStyle="1" w:styleId="17">
    <w:name w:val="Blockquote"/>
    <w:basedOn w:val="1"/>
    <w:qFormat/>
    <w:uiPriority w:val="0"/>
    <w:pPr>
      <w:autoSpaceDE w:val="0"/>
      <w:autoSpaceDN w:val="0"/>
      <w:adjustRightInd w:val="0"/>
      <w:spacing w:before="100" w:after="100"/>
      <w:ind w:left="360" w:right="360"/>
      <w:jc w:val="left"/>
    </w:pPr>
    <w:rPr>
      <w:rFonts w:ascii="宋体" w:eastAsia="宋体"/>
      <w:kern w:val="0"/>
      <w:sz w:val="24"/>
    </w:rPr>
  </w:style>
  <w:style w:type="character" w:customStyle="1" w:styleId="18">
    <w:name w:val="纯文本 Char1"/>
    <w:basedOn w:val="15"/>
    <w:qFormat/>
    <w:uiPriority w:val="0"/>
    <w:rPr>
      <w:rFonts w:ascii="宋体" w:hAnsi="Courier New" w:eastAsia="宋体" w:cs="Courier New"/>
      <w:szCs w:val="21"/>
    </w:rPr>
  </w:style>
  <w:style w:type="character" w:customStyle="1" w:styleId="19">
    <w:name w:val="页眉 Char"/>
    <w:basedOn w:val="15"/>
    <w:link w:val="9"/>
    <w:qFormat/>
    <w:uiPriority w:val="99"/>
    <w:rPr>
      <w:rFonts w:ascii="Times New Roman" w:hAnsi="Times New Roman" w:eastAsia="仿宋_GB2312" w:cs="Times New Roman"/>
      <w:sz w:val="18"/>
      <w:szCs w:val="18"/>
    </w:rPr>
  </w:style>
  <w:style w:type="character" w:customStyle="1" w:styleId="20">
    <w:name w:val="页脚 Char"/>
    <w:basedOn w:val="15"/>
    <w:link w:val="8"/>
    <w:qFormat/>
    <w:uiPriority w:val="0"/>
    <w:rPr>
      <w:rFonts w:ascii="Times New Roman" w:hAnsi="Times New Roman" w:eastAsia="仿宋_GB2312" w:cs="Times New Roman"/>
      <w:sz w:val="18"/>
      <w:szCs w:val="18"/>
    </w:rPr>
  </w:style>
  <w:style w:type="paragraph" w:styleId="21">
    <w:name w:val="List Paragraph"/>
    <w:basedOn w:val="1"/>
    <w:link w:val="22"/>
    <w:unhideWhenUsed/>
    <w:qFormat/>
    <w:uiPriority w:val="34"/>
    <w:pPr>
      <w:ind w:firstLine="420" w:firstLineChars="200"/>
    </w:pPr>
    <w:rPr>
      <w:rFonts w:ascii="Calibri" w:hAnsi="Calibri" w:eastAsia="宋体"/>
      <w:sz w:val="21"/>
      <w:szCs w:val="22"/>
    </w:rPr>
  </w:style>
  <w:style w:type="character" w:customStyle="1" w:styleId="22">
    <w:name w:val="列出段落 Char"/>
    <w:link w:val="21"/>
    <w:qFormat/>
    <w:uiPriority w:val="34"/>
    <w:rPr>
      <w:rFonts w:ascii="Calibri" w:hAnsi="Calibri" w:eastAsia="宋体" w:cs="Times New Roman"/>
    </w:rPr>
  </w:style>
  <w:style w:type="paragraph" w:customStyle="1" w:styleId="23">
    <w:name w:val="样式 标题 3H3l3CT标题222Bold Headbhlevel_3PIM 3Level 3 Heads..."/>
    <w:basedOn w:val="2"/>
    <w:link w:val="24"/>
    <w:qFormat/>
    <w:uiPriority w:val="0"/>
    <w:pPr>
      <w:jc w:val="left"/>
    </w:pPr>
    <w:rPr>
      <w:rFonts w:ascii="宋体" w:hAnsi="宋体" w:eastAsia="黑体"/>
      <w:color w:val="000000"/>
      <w:sz w:val="24"/>
    </w:rPr>
  </w:style>
  <w:style w:type="character" w:customStyle="1" w:styleId="24">
    <w:name w:val="样式 标题 3H3l3CT标题222Bold Headbhlevel_3PIM 3Level 3 Heads... Char"/>
    <w:link w:val="23"/>
    <w:qFormat/>
    <w:uiPriority w:val="0"/>
    <w:rPr>
      <w:rFonts w:ascii="宋体" w:hAnsi="宋体" w:eastAsia="黑体" w:cs="Times New Roman"/>
      <w:b/>
      <w:bCs/>
      <w:color w:val="000000"/>
      <w:sz w:val="24"/>
      <w:szCs w:val="32"/>
    </w:rPr>
  </w:style>
  <w:style w:type="character" w:customStyle="1" w:styleId="25">
    <w:name w:val="标题 Char"/>
    <w:basedOn w:val="15"/>
    <w:link w:val="11"/>
    <w:qFormat/>
    <w:uiPriority w:val="0"/>
    <w:rPr>
      <w:rFonts w:ascii="Cambria" w:hAnsi="Cambria" w:eastAsia="宋体" w:cs="Times New Roman"/>
      <w:b/>
      <w:bCs/>
      <w:sz w:val="32"/>
      <w:szCs w:val="32"/>
    </w:rPr>
  </w:style>
  <w:style w:type="character" w:customStyle="1" w:styleId="26">
    <w:name w:val="标题 3 Char"/>
    <w:basedOn w:val="15"/>
    <w:link w:val="2"/>
    <w:semiHidden/>
    <w:qFormat/>
    <w:uiPriority w:val="9"/>
    <w:rPr>
      <w:rFonts w:ascii="Times New Roman" w:hAnsi="Times New Roman" w:eastAsia="仿宋_GB2312" w:cs="Times New Roman"/>
      <w:b/>
      <w:bCs/>
      <w:sz w:val="32"/>
      <w:szCs w:val="32"/>
    </w:rPr>
  </w:style>
  <w:style w:type="character" w:customStyle="1" w:styleId="27">
    <w:name w:val="批注框文本 Char"/>
    <w:basedOn w:val="15"/>
    <w:link w:val="7"/>
    <w:semiHidden/>
    <w:qFormat/>
    <w:uiPriority w:val="99"/>
    <w:rPr>
      <w:rFonts w:ascii="Times New Roman" w:hAnsi="Times New Roman" w:eastAsia="仿宋_GB2312" w:cs="Times New Roman"/>
      <w:sz w:val="18"/>
      <w:szCs w:val="18"/>
    </w:rPr>
  </w:style>
  <w:style w:type="paragraph" w:customStyle="1" w:styleId="28">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9">
    <w:name w:val="正文文本缩进 Char"/>
    <w:basedOn w:val="15"/>
    <w:link w:val="4"/>
    <w:semiHidden/>
    <w:qFormat/>
    <w:uiPriority w:val="99"/>
    <w:rPr>
      <w:rFonts w:ascii="Times New Roman" w:hAnsi="Times New Roman" w:eastAsia="仿宋_GB2312" w:cs="Times New Roman"/>
      <w:sz w:val="30"/>
      <w:szCs w:val="20"/>
    </w:rPr>
  </w:style>
  <w:style w:type="character" w:customStyle="1" w:styleId="30">
    <w:name w:val="正文首行缩进 2 Char"/>
    <w:basedOn w:val="29"/>
    <w:link w:val="12"/>
    <w:qFormat/>
    <w:uiPriority w:val="0"/>
    <w:rPr>
      <w:rFonts w:ascii="仿宋_GB2312" w:hAnsi="Times New Roman" w:eastAsia="仿宋_GB2312" w:cs="Times New Roman"/>
      <w:kern w:val="0"/>
      <w:sz w:val="28"/>
      <w:szCs w:val="20"/>
    </w:rPr>
  </w:style>
  <w:style w:type="character" w:customStyle="1" w:styleId="31">
    <w:name w:val="正文文本 Char"/>
    <w:basedOn w:val="15"/>
    <w:link w:val="3"/>
    <w:semiHidden/>
    <w:qFormat/>
    <w:uiPriority w:val="99"/>
    <w:rPr>
      <w:rFonts w:ascii="Times New Roman" w:hAnsi="Times New Roman" w:eastAsia="仿宋_GB2312" w:cs="Times New Roman"/>
      <w:sz w:val="30"/>
      <w:szCs w:val="20"/>
    </w:rPr>
  </w:style>
  <w:style w:type="paragraph" w:styleId="3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3">
    <w:name w:val="null3"/>
    <w:hidden/>
    <w:qFormat/>
    <w:uiPriority w:val="0"/>
    <w:rPr>
      <w:rFonts w:hint="eastAsia" w:asciiTheme="minorHAnsi" w:hAnsiTheme="minorHAnsi" w:eastAsiaTheme="minorEastAsia" w:cstheme="minorBidi"/>
      <w:lang w:val="en-US" w:eastAsia="zh-CN" w:bidi="ar-SA"/>
    </w:rPr>
  </w:style>
  <w:style w:type="character" w:customStyle="1" w:styleId="34">
    <w:name w:val="font31"/>
    <w:basedOn w:val="15"/>
    <w:qFormat/>
    <w:uiPriority w:val="0"/>
    <w:rPr>
      <w:rFonts w:hint="eastAsia" w:ascii="宋体" w:hAnsi="宋体" w:eastAsia="宋体" w:cs="宋体"/>
      <w:b/>
      <w:bCs/>
      <w:color w:val="000000"/>
      <w:sz w:val="32"/>
      <w:szCs w:val="32"/>
      <w:u w:val="single"/>
    </w:rPr>
  </w:style>
  <w:style w:type="character" w:customStyle="1" w:styleId="35">
    <w:name w:val="font11"/>
    <w:basedOn w:val="15"/>
    <w:qFormat/>
    <w:uiPriority w:val="0"/>
    <w:rPr>
      <w:rFonts w:hint="eastAsia" w:ascii="宋体" w:hAnsi="宋体" w:eastAsia="宋体" w:cs="宋体"/>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17</Pages>
  <Words>2571</Words>
  <Characters>2674</Characters>
  <Lines>27</Lines>
  <Paragraphs>7</Paragraphs>
  <TotalTime>9</TotalTime>
  <ScaleCrop>false</ScaleCrop>
  <LinksUpToDate>false</LinksUpToDate>
  <CharactersWithSpaces>2737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2025-12-10T02:53:00Z</dcterms:created>
  <dc:creator>admin</dc:creator>
  <cp:lastModifiedBy>朱</cp:lastModifiedBy>
  <cp:lastPrinted>2021-05-16T08:35:00Z</cp:lastPrinted>
  <dcterms:modified xsi:type="dcterms:W3CDTF">2025-12-15T01:18:17Z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4F4E08C0648B47DDA4525113043D9F03_13</vt:lpwstr>
  </property>
  <property fmtid="{D5CDD505-2E9C-101B-9397-08002B2CF9AE}" pid="4" name="KSOTemplateDocerSaveRecord">
    <vt:lpwstr>eyJoZGlkIjoiYTkzZGJmNWVjODY5NzZjMWJlMmE1ZjY1MzVmNzA0MGMiLCJ1c2VySWQiOiIzNjQ2ODU4NzgifQ==</vt:lpwstr>
  </property>
</Properties>
</file>