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04FD7">
      <w:pPr>
        <w:widowControl/>
        <w:spacing w:line="600" w:lineRule="exact"/>
        <w:jc w:val="center"/>
        <w:rPr>
          <w:rFonts w:ascii="仿宋" w:hAnsi="仿宋" w:eastAsia="仿宋" w:cs="仿宋"/>
          <w:b/>
          <w:kern w:val="0"/>
          <w:sz w:val="32"/>
          <w:szCs w:val="32"/>
          <w:u w:val="single"/>
        </w:rPr>
      </w:pPr>
      <w:bookmarkStart w:id="0" w:name="_Toc12355_WPSOffice_Level1"/>
      <w:r>
        <w:rPr>
          <w:rFonts w:hint="eastAsia" w:ascii="仿宋" w:hAnsi="仿宋" w:eastAsia="仿宋" w:cs="仿宋"/>
          <w:b/>
          <w:kern w:val="0"/>
          <w:sz w:val="32"/>
          <w:szCs w:val="32"/>
          <w:u w:val="single"/>
        </w:rPr>
        <w:t>江门市技师学院潮连、荷塘两校区电梯维保服务采购项目</w:t>
      </w:r>
      <w:r>
        <w:rPr>
          <w:rFonts w:hint="eastAsia" w:ascii="仿宋" w:hAnsi="仿宋" w:eastAsia="仿宋" w:cs="仿宋"/>
          <w:b/>
          <w:kern w:val="0"/>
          <w:sz w:val="32"/>
          <w:szCs w:val="32"/>
        </w:rPr>
        <w:t>需求书</w:t>
      </w:r>
    </w:p>
    <w:p w14:paraId="673ECED6">
      <w:pPr>
        <w:widowControl/>
        <w:spacing w:line="600" w:lineRule="exact"/>
        <w:jc w:val="center"/>
        <w:rPr>
          <w:rFonts w:ascii="仿宋" w:hAnsi="仿宋" w:eastAsia="仿宋" w:cs="仿宋"/>
          <w:b/>
          <w:bCs/>
          <w:kern w:val="0"/>
          <w:sz w:val="32"/>
          <w:szCs w:val="32"/>
        </w:rPr>
      </w:pPr>
      <w:r>
        <w:rPr>
          <w:rFonts w:hint="eastAsia" w:ascii="仿宋" w:hAnsi="仿宋" w:eastAsia="仿宋" w:cs="仿宋"/>
          <w:b/>
          <w:bCs/>
          <w:kern w:val="0"/>
          <w:sz w:val="32"/>
          <w:szCs w:val="32"/>
        </w:rPr>
        <w:t>第一章用户需求书</w:t>
      </w:r>
      <w:bookmarkEnd w:id="0"/>
    </w:p>
    <w:p w14:paraId="0AB6350E">
      <w:pPr>
        <w:widowControl/>
        <w:spacing w:line="360" w:lineRule="auto"/>
        <w:ind w:firstLine="600" w:firstLineChars="200"/>
        <w:rPr>
          <w:rFonts w:ascii="仿宋" w:hAnsi="仿宋" w:eastAsia="仿宋" w:cs="仿宋"/>
          <w:bCs/>
          <w:kern w:val="0"/>
          <w:szCs w:val="30"/>
        </w:rPr>
      </w:pPr>
      <w:r>
        <w:rPr>
          <w:rFonts w:hint="eastAsia" w:ascii="仿宋" w:hAnsi="仿宋" w:eastAsia="仿宋" w:cs="仿宋"/>
          <w:bCs/>
          <w:kern w:val="0"/>
          <w:szCs w:val="30"/>
        </w:rPr>
        <w:t>一、项目基本情况</w:t>
      </w:r>
    </w:p>
    <w:tbl>
      <w:tblPr>
        <w:tblStyle w:val="1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43"/>
        <w:gridCol w:w="2366"/>
        <w:gridCol w:w="2343"/>
        <w:gridCol w:w="2616"/>
      </w:tblGrid>
      <w:tr w14:paraId="1579F2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343" w:type="dxa"/>
            <w:vAlign w:val="center"/>
          </w:tcPr>
          <w:p w14:paraId="77D6FFF6">
            <w:pPr>
              <w:spacing w:line="360" w:lineRule="auto"/>
              <w:jc w:val="center"/>
              <w:rPr>
                <w:rFonts w:ascii="仿宋" w:hAnsi="仿宋" w:eastAsia="仿宋" w:cs="仿宋"/>
                <w:bCs/>
                <w:kern w:val="0"/>
                <w:szCs w:val="30"/>
              </w:rPr>
            </w:pPr>
            <w:r>
              <w:rPr>
                <w:rFonts w:hint="eastAsia" w:ascii="仿宋" w:hAnsi="仿宋" w:eastAsia="仿宋" w:cs="仿宋"/>
                <w:bCs/>
                <w:kern w:val="0"/>
                <w:szCs w:val="30"/>
              </w:rPr>
              <w:t>项目名称</w:t>
            </w:r>
          </w:p>
        </w:tc>
        <w:tc>
          <w:tcPr>
            <w:tcW w:w="2366" w:type="dxa"/>
            <w:vAlign w:val="center"/>
          </w:tcPr>
          <w:p w14:paraId="5285242B">
            <w:pPr>
              <w:spacing w:line="360" w:lineRule="auto"/>
              <w:jc w:val="center"/>
              <w:rPr>
                <w:rFonts w:ascii="仿宋" w:hAnsi="仿宋" w:eastAsia="仿宋" w:cs="仿宋"/>
                <w:bCs/>
                <w:kern w:val="0"/>
                <w:szCs w:val="30"/>
              </w:rPr>
            </w:pPr>
            <w:r>
              <w:rPr>
                <w:rFonts w:hint="eastAsia" w:ascii="仿宋" w:hAnsi="仿宋" w:eastAsia="仿宋" w:cs="仿宋"/>
                <w:kern w:val="0"/>
                <w:szCs w:val="30"/>
              </w:rPr>
              <w:t>江门市技师学院潮连、荷塘两校区电梯维保服务采购项目</w:t>
            </w:r>
          </w:p>
        </w:tc>
        <w:tc>
          <w:tcPr>
            <w:tcW w:w="2343" w:type="dxa"/>
            <w:vAlign w:val="center"/>
          </w:tcPr>
          <w:p w14:paraId="4919F62F">
            <w:pPr>
              <w:spacing w:line="360" w:lineRule="auto"/>
              <w:jc w:val="center"/>
              <w:rPr>
                <w:rFonts w:ascii="仿宋" w:hAnsi="仿宋" w:eastAsia="仿宋" w:cs="仿宋"/>
                <w:bCs/>
                <w:kern w:val="0"/>
                <w:szCs w:val="30"/>
              </w:rPr>
            </w:pPr>
            <w:r>
              <w:rPr>
                <w:rFonts w:hint="eastAsia" w:ascii="仿宋" w:hAnsi="仿宋" w:eastAsia="仿宋" w:cs="仿宋"/>
                <w:szCs w:val="30"/>
              </w:rPr>
              <w:t>项目编号</w:t>
            </w:r>
          </w:p>
        </w:tc>
        <w:tc>
          <w:tcPr>
            <w:tcW w:w="2616" w:type="dxa"/>
            <w:vAlign w:val="center"/>
          </w:tcPr>
          <w:p w14:paraId="4DC896F7">
            <w:pPr>
              <w:spacing w:line="360" w:lineRule="auto"/>
              <w:jc w:val="center"/>
              <w:rPr>
                <w:rFonts w:hint="eastAsia" w:ascii="仿宋" w:hAnsi="仿宋" w:eastAsia="仿宋" w:cs="仿宋"/>
                <w:bCs w:val="0"/>
                <w:kern w:val="2"/>
                <w:szCs w:val="30"/>
              </w:rPr>
            </w:pPr>
            <w:bookmarkStart w:id="1" w:name="_GoBack"/>
            <w:r>
              <w:rPr>
                <w:rFonts w:hint="eastAsia" w:ascii="仿宋" w:hAnsi="仿宋" w:eastAsia="仿宋" w:cs="仿宋"/>
                <w:szCs w:val="30"/>
                <w:lang w:val="en-US" w:eastAsia="zh-CN"/>
              </w:rPr>
              <w:t>zwb</w:t>
            </w:r>
            <w:r>
              <w:rPr>
                <w:rFonts w:hint="eastAsia" w:ascii="仿宋" w:hAnsi="仿宋" w:eastAsia="仿宋" w:cs="仿宋"/>
                <w:bCs w:val="0"/>
                <w:kern w:val="2"/>
                <w:sz w:val="30"/>
                <w:szCs w:val="30"/>
                <w:lang w:val="en-US" w:eastAsia="zh-CN"/>
              </w:rPr>
              <w:t>-cgzx-2025-39</w:t>
            </w:r>
            <w:bookmarkEnd w:id="1"/>
          </w:p>
        </w:tc>
      </w:tr>
      <w:tr w14:paraId="501734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343" w:type="dxa"/>
            <w:vAlign w:val="center"/>
          </w:tcPr>
          <w:p w14:paraId="54964CF0">
            <w:pPr>
              <w:spacing w:line="360" w:lineRule="auto"/>
              <w:jc w:val="center"/>
              <w:rPr>
                <w:rFonts w:ascii="仿宋" w:hAnsi="仿宋" w:eastAsia="仿宋" w:cs="仿宋"/>
                <w:bCs/>
                <w:kern w:val="0"/>
                <w:szCs w:val="30"/>
              </w:rPr>
            </w:pPr>
            <w:r>
              <w:rPr>
                <w:rFonts w:hint="eastAsia" w:ascii="仿宋" w:hAnsi="仿宋" w:eastAsia="仿宋" w:cs="仿宋"/>
                <w:bCs/>
                <w:kern w:val="0"/>
                <w:szCs w:val="30"/>
              </w:rPr>
              <w:t>采购预算/最高限价</w:t>
            </w:r>
          </w:p>
        </w:tc>
        <w:tc>
          <w:tcPr>
            <w:tcW w:w="2366" w:type="dxa"/>
            <w:vAlign w:val="center"/>
          </w:tcPr>
          <w:p w14:paraId="76BE5FDC">
            <w:pPr>
              <w:spacing w:line="360" w:lineRule="auto"/>
              <w:jc w:val="center"/>
              <w:rPr>
                <w:rFonts w:hint="eastAsia" w:ascii="仿宋" w:hAnsi="仿宋" w:eastAsia="仿宋" w:cs="仿宋"/>
                <w:bCs/>
                <w:kern w:val="0"/>
                <w:szCs w:val="30"/>
                <w:lang w:eastAsia="zh-CN"/>
              </w:rPr>
            </w:pPr>
            <w:r>
              <w:rPr>
                <w:rFonts w:hint="eastAsia" w:ascii="仿宋" w:hAnsi="仿宋" w:eastAsia="仿宋" w:cs="仿宋"/>
                <w:bCs/>
                <w:kern w:val="0"/>
                <w:szCs w:val="30"/>
              </w:rPr>
              <w:t>17.1万元</w:t>
            </w:r>
          </w:p>
        </w:tc>
        <w:tc>
          <w:tcPr>
            <w:tcW w:w="2343" w:type="dxa"/>
            <w:vAlign w:val="center"/>
          </w:tcPr>
          <w:p w14:paraId="3B2B3D00">
            <w:pPr>
              <w:spacing w:line="360" w:lineRule="auto"/>
              <w:jc w:val="center"/>
              <w:rPr>
                <w:rFonts w:ascii="仿宋" w:hAnsi="仿宋" w:eastAsia="仿宋" w:cs="仿宋"/>
                <w:bCs/>
                <w:kern w:val="0"/>
                <w:szCs w:val="30"/>
              </w:rPr>
            </w:pPr>
            <w:r>
              <w:rPr>
                <w:rFonts w:hint="eastAsia" w:ascii="仿宋" w:hAnsi="仿宋" w:eastAsia="仿宋" w:cs="仿宋"/>
                <w:szCs w:val="30"/>
              </w:rPr>
              <w:t>履行期限</w:t>
            </w:r>
          </w:p>
        </w:tc>
        <w:tc>
          <w:tcPr>
            <w:tcW w:w="2616" w:type="dxa"/>
            <w:vAlign w:val="center"/>
          </w:tcPr>
          <w:p w14:paraId="2CB36C08">
            <w:pPr>
              <w:spacing w:line="360" w:lineRule="auto"/>
              <w:jc w:val="center"/>
              <w:rPr>
                <w:rFonts w:ascii="仿宋" w:hAnsi="仿宋" w:eastAsia="仿宋" w:cs="仿宋"/>
                <w:bCs/>
                <w:kern w:val="0"/>
                <w:szCs w:val="30"/>
              </w:rPr>
            </w:pPr>
            <w:r>
              <w:rPr>
                <w:rFonts w:hint="eastAsia" w:ascii="仿宋" w:hAnsi="仿宋" w:eastAsia="仿宋" w:cs="仿宋"/>
                <w:bCs/>
                <w:kern w:val="0"/>
                <w:szCs w:val="30"/>
              </w:rPr>
              <w:t>每台服务期限分别为24个月11天-34个月不等（具体以表格为准）</w:t>
            </w:r>
          </w:p>
        </w:tc>
      </w:tr>
      <w:tr w14:paraId="69F274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343" w:type="dxa"/>
            <w:vAlign w:val="center"/>
          </w:tcPr>
          <w:p w14:paraId="70409B96">
            <w:pPr>
              <w:spacing w:line="360" w:lineRule="auto"/>
              <w:jc w:val="center"/>
              <w:rPr>
                <w:rFonts w:ascii="仿宋" w:hAnsi="仿宋" w:eastAsia="仿宋" w:cs="仿宋"/>
                <w:bCs/>
                <w:kern w:val="0"/>
                <w:szCs w:val="30"/>
              </w:rPr>
            </w:pPr>
            <w:r>
              <w:rPr>
                <w:rFonts w:hint="eastAsia" w:ascii="仿宋" w:hAnsi="仿宋" w:eastAsia="仿宋" w:cs="仿宋"/>
                <w:bCs/>
                <w:kern w:val="0"/>
                <w:szCs w:val="30"/>
              </w:rPr>
              <w:t>评标办法</w:t>
            </w:r>
          </w:p>
        </w:tc>
        <w:tc>
          <w:tcPr>
            <w:tcW w:w="2366" w:type="dxa"/>
            <w:vAlign w:val="center"/>
          </w:tcPr>
          <w:p w14:paraId="29683382">
            <w:pPr>
              <w:spacing w:line="360" w:lineRule="auto"/>
              <w:jc w:val="center"/>
              <w:rPr>
                <w:rFonts w:ascii="仿宋" w:hAnsi="仿宋" w:eastAsia="仿宋" w:cs="仿宋"/>
                <w:bCs/>
                <w:kern w:val="0"/>
                <w:szCs w:val="30"/>
              </w:rPr>
            </w:pPr>
            <w:r>
              <w:rPr>
                <w:rFonts w:hint="eastAsia" w:ascii="仿宋" w:hAnsi="仿宋" w:eastAsia="仿宋" w:cs="仿宋"/>
                <w:kern w:val="28"/>
                <w:szCs w:val="30"/>
              </w:rPr>
              <w:t>综合评分法</w:t>
            </w:r>
          </w:p>
        </w:tc>
        <w:tc>
          <w:tcPr>
            <w:tcW w:w="2343" w:type="dxa"/>
            <w:vAlign w:val="center"/>
          </w:tcPr>
          <w:p w14:paraId="29588AC4">
            <w:pPr>
              <w:spacing w:line="360" w:lineRule="auto"/>
              <w:jc w:val="center"/>
              <w:rPr>
                <w:rFonts w:ascii="仿宋" w:hAnsi="仿宋" w:eastAsia="仿宋" w:cs="仿宋"/>
                <w:bCs/>
                <w:kern w:val="0"/>
                <w:szCs w:val="30"/>
              </w:rPr>
            </w:pPr>
            <w:r>
              <w:rPr>
                <w:rFonts w:hint="eastAsia" w:ascii="仿宋" w:hAnsi="仿宋" w:eastAsia="仿宋" w:cs="仿宋"/>
                <w:bCs/>
                <w:kern w:val="0"/>
                <w:szCs w:val="30"/>
              </w:rPr>
              <w:t>现场踏勘</w:t>
            </w:r>
          </w:p>
        </w:tc>
        <w:tc>
          <w:tcPr>
            <w:tcW w:w="2616" w:type="dxa"/>
            <w:vAlign w:val="center"/>
          </w:tcPr>
          <w:p w14:paraId="6C3BE7BC">
            <w:pPr>
              <w:spacing w:line="360" w:lineRule="auto"/>
              <w:jc w:val="center"/>
              <w:rPr>
                <w:rFonts w:ascii="仿宋" w:hAnsi="仿宋" w:eastAsia="仿宋" w:cs="仿宋"/>
                <w:bCs/>
                <w:kern w:val="0"/>
                <w:szCs w:val="30"/>
              </w:rPr>
            </w:pPr>
            <w:r>
              <w:rPr>
                <w:rFonts w:hint="eastAsia" w:ascii="仿宋" w:hAnsi="仿宋" w:eastAsia="仿宋" w:cs="仿宋"/>
                <w:bCs/>
                <w:kern w:val="0"/>
                <w:szCs w:val="30"/>
              </w:rPr>
              <w:t>是</w:t>
            </w:r>
          </w:p>
        </w:tc>
      </w:tr>
      <w:tr w14:paraId="6922B0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343" w:type="dxa"/>
            <w:vAlign w:val="center"/>
          </w:tcPr>
          <w:p w14:paraId="7E0AE7BB">
            <w:pPr>
              <w:spacing w:line="360" w:lineRule="auto"/>
              <w:jc w:val="center"/>
              <w:rPr>
                <w:rFonts w:ascii="仿宋" w:hAnsi="仿宋" w:eastAsia="仿宋" w:cs="仿宋"/>
                <w:bCs/>
                <w:kern w:val="0"/>
                <w:szCs w:val="30"/>
              </w:rPr>
            </w:pPr>
            <w:r>
              <w:rPr>
                <w:rFonts w:hint="eastAsia" w:ascii="仿宋" w:hAnsi="仿宋" w:eastAsia="仿宋" w:cs="仿宋"/>
                <w:bCs/>
                <w:kern w:val="0"/>
                <w:szCs w:val="30"/>
              </w:rPr>
              <w:t>联系人</w:t>
            </w:r>
          </w:p>
        </w:tc>
        <w:tc>
          <w:tcPr>
            <w:tcW w:w="2366" w:type="dxa"/>
            <w:vAlign w:val="center"/>
          </w:tcPr>
          <w:p w14:paraId="167AE7C9">
            <w:pPr>
              <w:spacing w:line="360" w:lineRule="auto"/>
              <w:jc w:val="center"/>
              <w:rPr>
                <w:rFonts w:ascii="仿宋" w:hAnsi="仿宋" w:eastAsia="仿宋" w:cs="仿宋"/>
                <w:bCs/>
                <w:kern w:val="0"/>
                <w:szCs w:val="30"/>
              </w:rPr>
            </w:pPr>
            <w:r>
              <w:rPr>
                <w:rFonts w:hint="eastAsia" w:ascii="仿宋" w:hAnsi="仿宋" w:eastAsia="仿宋" w:cs="仿宋"/>
                <w:bCs/>
                <w:kern w:val="0"/>
                <w:szCs w:val="30"/>
                <w:lang w:val="en-US" w:eastAsia="zh-CN"/>
              </w:rPr>
              <w:t>陈</w:t>
            </w:r>
            <w:r>
              <w:rPr>
                <w:rFonts w:hint="eastAsia" w:ascii="仿宋" w:hAnsi="仿宋" w:eastAsia="仿宋" w:cs="仿宋"/>
                <w:bCs/>
                <w:kern w:val="0"/>
                <w:szCs w:val="30"/>
              </w:rPr>
              <w:t>老师</w:t>
            </w:r>
          </w:p>
        </w:tc>
        <w:tc>
          <w:tcPr>
            <w:tcW w:w="2343" w:type="dxa"/>
            <w:vAlign w:val="center"/>
          </w:tcPr>
          <w:p w14:paraId="0932850B">
            <w:pPr>
              <w:spacing w:line="360" w:lineRule="auto"/>
              <w:jc w:val="center"/>
              <w:rPr>
                <w:rFonts w:ascii="仿宋" w:hAnsi="仿宋" w:eastAsia="仿宋" w:cs="仿宋"/>
                <w:bCs/>
                <w:kern w:val="0"/>
                <w:szCs w:val="30"/>
              </w:rPr>
            </w:pPr>
            <w:r>
              <w:rPr>
                <w:rFonts w:hint="eastAsia" w:ascii="仿宋" w:hAnsi="仿宋" w:eastAsia="仿宋" w:cs="仿宋"/>
                <w:bCs/>
                <w:kern w:val="0"/>
                <w:szCs w:val="30"/>
              </w:rPr>
              <w:t>联系电话</w:t>
            </w:r>
          </w:p>
        </w:tc>
        <w:tc>
          <w:tcPr>
            <w:tcW w:w="2616" w:type="dxa"/>
            <w:vAlign w:val="center"/>
          </w:tcPr>
          <w:p w14:paraId="573670DC">
            <w:pPr>
              <w:spacing w:line="360" w:lineRule="auto"/>
              <w:jc w:val="center"/>
              <w:rPr>
                <w:rFonts w:ascii="仿宋" w:hAnsi="仿宋" w:eastAsia="仿宋" w:cs="仿宋"/>
                <w:bCs/>
                <w:kern w:val="0"/>
                <w:szCs w:val="30"/>
              </w:rPr>
            </w:pPr>
            <w:r>
              <w:rPr>
                <w:rFonts w:hint="eastAsia" w:ascii="仿宋" w:hAnsi="仿宋" w:eastAsia="仿宋" w:cs="仿宋"/>
                <w:bCs/>
                <w:kern w:val="0"/>
                <w:szCs w:val="30"/>
              </w:rPr>
              <w:t>0750-</w:t>
            </w:r>
            <w:r>
              <w:rPr>
                <w:rFonts w:hint="eastAsia" w:ascii="仿宋" w:hAnsi="仿宋" w:eastAsia="仿宋" w:cs="仿宋"/>
                <w:bCs/>
                <w:kern w:val="0"/>
                <w:szCs w:val="30"/>
                <w:lang w:val="en-US" w:eastAsia="zh-CN"/>
              </w:rPr>
              <w:t>3728581</w:t>
            </w:r>
          </w:p>
        </w:tc>
      </w:tr>
    </w:tbl>
    <w:p w14:paraId="7BDEDDB8">
      <w:pPr>
        <w:spacing w:line="560" w:lineRule="exact"/>
        <w:ind w:firstLine="600" w:firstLineChars="200"/>
        <w:rPr>
          <w:rFonts w:ascii="仿宋" w:hAnsi="仿宋" w:eastAsia="仿宋" w:cs="仿宋"/>
          <w:szCs w:val="30"/>
          <w:shd w:val="clear" w:color="auto" w:fill="FFFFFF"/>
        </w:rPr>
      </w:pPr>
      <w:r>
        <w:rPr>
          <w:rFonts w:hint="eastAsia" w:ascii="仿宋" w:hAnsi="仿宋" w:eastAsia="仿宋" w:cs="仿宋"/>
          <w:szCs w:val="30"/>
        </w:rPr>
        <w:t>江门市技师学院潮连和荷塘两个校区共有电梯16台，其中潮连校区4台，荷塘校区12台。本次</w:t>
      </w:r>
      <w:r>
        <w:rPr>
          <w:rFonts w:hint="eastAsia" w:ascii="仿宋" w:hAnsi="仿宋" w:eastAsia="仿宋" w:cs="仿宋"/>
          <w:szCs w:val="30"/>
          <w:shd w:val="clear" w:color="auto" w:fill="FFFFFF"/>
        </w:rPr>
        <w:t>计划采购16台电梯的维保服务，每台服务期限分别为24个月11天-34个月不等（具体以表</w:t>
      </w:r>
      <w:r>
        <w:rPr>
          <w:rFonts w:hint="eastAsia" w:ascii="仿宋" w:hAnsi="仿宋" w:eastAsia="仿宋" w:cs="仿宋"/>
          <w:szCs w:val="30"/>
          <w:shd w:val="clear" w:color="auto" w:fill="FFFFFF"/>
          <w:lang w:val="en-US" w:eastAsia="zh-CN"/>
        </w:rPr>
        <w:t>1</w:t>
      </w:r>
      <w:r>
        <w:rPr>
          <w:rFonts w:hint="eastAsia" w:ascii="仿宋" w:hAnsi="仿宋" w:eastAsia="仿宋" w:cs="仿宋"/>
          <w:szCs w:val="30"/>
          <w:shd w:val="clear" w:color="auto" w:fill="FFFFFF"/>
        </w:rPr>
        <w:t>为准），服务内容包括</w:t>
      </w:r>
      <w:r>
        <w:rPr>
          <w:rStyle w:val="18"/>
          <w:rFonts w:hint="eastAsia" w:ascii="仿宋" w:hAnsi="仿宋" w:eastAsia="仿宋" w:cs="仿宋"/>
          <w:b w:val="0"/>
          <w:szCs w:val="30"/>
        </w:rPr>
        <w:t>日常保养、故障维修、紧急救援、年度检修</w:t>
      </w:r>
      <w:r>
        <w:rPr>
          <w:rFonts w:hint="eastAsia" w:ascii="仿宋" w:hAnsi="仿宋" w:eastAsia="仿宋" w:cs="仿宋"/>
          <w:szCs w:val="30"/>
        </w:rPr>
        <w:t>等</w:t>
      </w:r>
      <w:r>
        <w:rPr>
          <w:rFonts w:hint="eastAsia" w:ascii="仿宋" w:hAnsi="仿宋" w:eastAsia="仿宋" w:cs="仿宋"/>
          <w:szCs w:val="30"/>
          <w:shd w:val="clear" w:color="auto" w:fill="FFFFFF"/>
        </w:rPr>
        <w:t>。</w:t>
      </w:r>
    </w:p>
    <w:p w14:paraId="3B24B470">
      <w:pPr>
        <w:spacing w:line="360" w:lineRule="auto"/>
        <w:ind w:firstLine="600" w:firstLineChars="200"/>
        <w:rPr>
          <w:rFonts w:ascii="仿宋" w:hAnsi="仿宋" w:eastAsia="仿宋" w:cs="仿宋"/>
          <w:bCs/>
          <w:kern w:val="0"/>
          <w:szCs w:val="30"/>
        </w:rPr>
      </w:pPr>
      <w:r>
        <w:rPr>
          <w:rFonts w:hint="eastAsia" w:ascii="仿宋" w:hAnsi="仿宋" w:eastAsia="仿宋" w:cs="仿宋"/>
          <w:bCs/>
          <w:kern w:val="0"/>
          <w:szCs w:val="30"/>
        </w:rPr>
        <w:t>二、投标供应商资格条件要求</w:t>
      </w:r>
    </w:p>
    <w:p w14:paraId="14B53105">
      <w:pPr>
        <w:spacing w:line="360" w:lineRule="auto"/>
        <w:ind w:firstLine="600" w:firstLineChars="200"/>
        <w:rPr>
          <w:rFonts w:ascii="仿宋" w:hAnsi="仿宋" w:eastAsia="仿宋" w:cs="仿宋"/>
          <w:bCs/>
          <w:kern w:val="0"/>
          <w:szCs w:val="30"/>
        </w:rPr>
      </w:pPr>
      <w:r>
        <w:rPr>
          <w:rFonts w:hint="eastAsia" w:ascii="仿宋" w:hAnsi="仿宋" w:eastAsia="仿宋" w:cs="仿宋"/>
          <w:bCs/>
          <w:kern w:val="0"/>
          <w:szCs w:val="30"/>
        </w:rPr>
        <w:t>1.投标供应商应具备《中华人民共和国政府采购法》第二十二条规定的条件。</w:t>
      </w:r>
    </w:p>
    <w:p w14:paraId="25ACEA6A">
      <w:pPr>
        <w:spacing w:line="360" w:lineRule="auto"/>
        <w:ind w:firstLine="600" w:firstLineChars="200"/>
        <w:rPr>
          <w:rFonts w:ascii="仿宋" w:hAnsi="仿宋" w:eastAsia="仿宋" w:cs="仿宋"/>
          <w:bCs/>
          <w:kern w:val="0"/>
          <w:szCs w:val="30"/>
        </w:rPr>
      </w:pPr>
      <w:r>
        <w:rPr>
          <w:rFonts w:hint="eastAsia" w:ascii="仿宋" w:hAnsi="仿宋" w:eastAsia="仿宋" w:cs="仿宋"/>
          <w:bCs/>
          <w:kern w:val="0"/>
          <w:szCs w:val="30"/>
        </w:rPr>
        <w:t>2.营业执照经营范围须与本项目相符。</w:t>
      </w:r>
    </w:p>
    <w:p w14:paraId="20F67AB3">
      <w:pPr>
        <w:spacing w:line="560" w:lineRule="exact"/>
        <w:ind w:firstLine="600" w:firstLineChars="200"/>
        <w:rPr>
          <w:rFonts w:ascii="仿宋" w:hAnsi="仿宋" w:eastAsia="仿宋" w:cs="仿宋"/>
          <w:szCs w:val="30"/>
          <w:shd w:val="clear" w:color="auto" w:fill="FFFFFF"/>
        </w:rPr>
      </w:pPr>
      <w:r>
        <w:rPr>
          <w:rFonts w:hint="eastAsia" w:ascii="仿宋" w:hAnsi="仿宋" w:eastAsia="仿宋" w:cs="仿宋"/>
          <w:szCs w:val="30"/>
          <w:shd w:val="clear" w:color="auto" w:fill="FFFFFF"/>
        </w:rPr>
        <w:t>3.本项目不接受联合体投标、不允许只对部分内容投标、不允许分包。</w:t>
      </w:r>
    </w:p>
    <w:p w14:paraId="429FF654">
      <w:pPr>
        <w:numPr>
          <w:ilvl w:val="0"/>
          <w:numId w:val="1"/>
        </w:numPr>
        <w:spacing w:line="360" w:lineRule="auto"/>
        <w:ind w:firstLine="600" w:firstLineChars="200"/>
        <w:rPr>
          <w:rFonts w:ascii="仿宋" w:hAnsi="仿宋" w:eastAsia="仿宋" w:cs="仿宋"/>
          <w:bCs/>
          <w:kern w:val="0"/>
          <w:szCs w:val="30"/>
        </w:rPr>
      </w:pPr>
      <w:r>
        <w:rPr>
          <w:rFonts w:hint="eastAsia" w:ascii="仿宋" w:hAnsi="仿宋" w:eastAsia="仿宋" w:cs="仿宋"/>
          <w:bCs/>
          <w:kern w:val="0"/>
          <w:szCs w:val="30"/>
        </w:rPr>
        <w:t>项目需求</w:t>
      </w:r>
    </w:p>
    <w:p w14:paraId="383E2DEA">
      <w:pPr>
        <w:pStyle w:val="41"/>
        <w:ind w:firstLine="600" w:firstLineChars="200"/>
        <w:jc w:val="both"/>
        <w:rPr>
          <w:rFonts w:hint="default" w:ascii="仿宋" w:hAnsi="仿宋" w:eastAsia="仿宋" w:cs="仿宋"/>
          <w:sz w:val="30"/>
          <w:szCs w:val="30"/>
        </w:rPr>
      </w:pPr>
      <w:r>
        <w:rPr>
          <w:rFonts w:ascii="仿宋" w:hAnsi="仿宋" w:eastAsia="仿宋" w:cs="仿宋"/>
          <w:sz w:val="30"/>
          <w:szCs w:val="30"/>
        </w:rPr>
        <w:t>（一）采购要求</w:t>
      </w:r>
    </w:p>
    <w:p w14:paraId="6134FC27">
      <w:pPr>
        <w:spacing w:line="560" w:lineRule="exact"/>
        <w:ind w:firstLine="600" w:firstLineChars="200"/>
        <w:rPr>
          <w:rFonts w:ascii="仿宋" w:hAnsi="仿宋" w:eastAsia="仿宋" w:cs="仿宋"/>
          <w:szCs w:val="30"/>
        </w:rPr>
      </w:pPr>
      <w:r>
        <w:rPr>
          <w:rFonts w:hint="eastAsia" w:ascii="仿宋" w:hAnsi="仿宋" w:eastAsia="仿宋" w:cs="仿宋"/>
          <w:szCs w:val="30"/>
        </w:rPr>
        <w:t>1.报价要求：本项目维保费用最高限价为人民币（17.1）万元，投标供应商应提供详细预算报价表（包括每台电梯维保费用服务费等）。投标供应商应报出不高于最高限价的维保费用，否则将视作无效投标。</w:t>
      </w:r>
    </w:p>
    <w:p w14:paraId="10860C47">
      <w:pPr>
        <w:spacing w:line="560" w:lineRule="exact"/>
        <w:ind w:firstLine="600" w:firstLineChars="200"/>
        <w:rPr>
          <w:rFonts w:ascii="仿宋" w:hAnsi="仿宋" w:eastAsia="仿宋" w:cs="仿宋"/>
          <w:szCs w:val="30"/>
        </w:rPr>
      </w:pPr>
      <w:r>
        <w:rPr>
          <w:rFonts w:hint="eastAsia" w:ascii="仿宋" w:hAnsi="仿宋" w:eastAsia="仿宋" w:cs="仿宋"/>
          <w:szCs w:val="30"/>
        </w:rPr>
        <w:t>2.</w:t>
      </w:r>
      <w:r>
        <w:rPr>
          <w:rFonts w:ascii="仿宋" w:hAnsi="仿宋" w:eastAsia="仿宋" w:cs="仿宋"/>
          <w:szCs w:val="30"/>
          <w:lang w:eastAsia="zh-Hans"/>
        </w:rPr>
        <w:t>本项目维保费采取</w:t>
      </w:r>
      <w:r>
        <w:rPr>
          <w:rFonts w:ascii="仿宋" w:hAnsi="仿宋" w:eastAsia="仿宋" w:cs="仿宋"/>
          <w:szCs w:val="30"/>
        </w:rPr>
        <w:t>清包</w:t>
      </w:r>
      <w:r>
        <w:rPr>
          <w:rFonts w:ascii="仿宋" w:hAnsi="仿宋" w:eastAsia="仿宋" w:cs="仿宋"/>
          <w:szCs w:val="30"/>
          <w:lang w:eastAsia="zh-Hans"/>
        </w:rPr>
        <w:t>形式</w:t>
      </w:r>
      <w:r>
        <w:rPr>
          <w:rFonts w:ascii="仿宋" w:hAnsi="仿宋" w:eastAsia="仿宋" w:cs="仿宋"/>
          <w:szCs w:val="30"/>
        </w:rPr>
        <w:t>，如果电梯零部件损坏，</w:t>
      </w:r>
      <w:r>
        <w:rPr>
          <w:rFonts w:ascii="仿宋" w:hAnsi="仿宋" w:eastAsia="仿宋" w:cs="仿宋"/>
          <w:szCs w:val="30"/>
          <w:lang w:eastAsia="zh-Hans"/>
        </w:rPr>
        <w:t>损坏的零</w:t>
      </w:r>
      <w:r>
        <w:rPr>
          <w:rFonts w:ascii="仿宋" w:hAnsi="仿宋" w:eastAsia="仿宋" w:cs="仿宋"/>
          <w:szCs w:val="30"/>
        </w:rPr>
        <w:t>部</w:t>
      </w:r>
      <w:r>
        <w:rPr>
          <w:rFonts w:ascii="仿宋" w:hAnsi="仿宋" w:eastAsia="仿宋" w:cs="仿宋"/>
          <w:szCs w:val="30"/>
          <w:lang w:eastAsia="zh-Hans"/>
        </w:rPr>
        <w:t>件</w:t>
      </w:r>
      <w:r>
        <w:rPr>
          <w:rFonts w:ascii="仿宋" w:hAnsi="仿宋" w:eastAsia="仿宋" w:cs="仿宋"/>
          <w:szCs w:val="30"/>
        </w:rPr>
        <w:t>供应</w:t>
      </w:r>
      <w:r>
        <w:rPr>
          <w:rFonts w:ascii="仿宋" w:hAnsi="仿宋" w:eastAsia="仿宋" w:cs="仿宋"/>
          <w:szCs w:val="30"/>
          <w:lang w:eastAsia="zh-Hans"/>
        </w:rPr>
        <w:t>以合理的行业零配件报价形式，经采购人</w:t>
      </w:r>
      <w:r>
        <w:rPr>
          <w:rFonts w:ascii="仿宋" w:hAnsi="仿宋" w:eastAsia="仿宋" w:cs="仿宋"/>
          <w:szCs w:val="30"/>
        </w:rPr>
        <w:t>同意再更换</w:t>
      </w:r>
      <w:r>
        <w:rPr>
          <w:rFonts w:ascii="仿宋" w:hAnsi="仿宋" w:eastAsia="仿宋" w:cs="仿宋"/>
          <w:szCs w:val="30"/>
          <w:lang w:eastAsia="zh-Hans"/>
        </w:rPr>
        <w:t>。</w:t>
      </w:r>
    </w:p>
    <w:p w14:paraId="19896527">
      <w:pPr>
        <w:pStyle w:val="41"/>
        <w:ind w:firstLine="600" w:firstLineChars="200"/>
        <w:jc w:val="both"/>
        <w:rPr>
          <w:rFonts w:hint="default" w:ascii="仿宋" w:hAnsi="仿宋" w:eastAsia="仿宋" w:cs="仿宋"/>
          <w:sz w:val="30"/>
          <w:szCs w:val="30"/>
        </w:rPr>
      </w:pPr>
      <w:r>
        <w:rPr>
          <w:rFonts w:ascii="仿宋" w:hAnsi="仿宋" w:eastAsia="仿宋" w:cs="仿宋"/>
          <w:sz w:val="30"/>
          <w:szCs w:val="30"/>
          <w:lang w:eastAsia="zh-CN"/>
        </w:rPr>
        <w:t>（二）</w:t>
      </w:r>
      <w:r>
        <w:rPr>
          <w:rFonts w:ascii="仿宋" w:hAnsi="仿宋" w:eastAsia="仿宋" w:cs="仿宋"/>
          <w:sz w:val="30"/>
          <w:szCs w:val="30"/>
        </w:rPr>
        <w:t>采购人电梯基本情况</w:t>
      </w:r>
    </w:p>
    <w:p w14:paraId="0ABC8BBD">
      <w:pPr>
        <w:spacing w:line="560" w:lineRule="exact"/>
        <w:ind w:firstLine="600" w:firstLineChars="200"/>
        <w:rPr>
          <w:rFonts w:ascii="仿宋" w:hAnsi="仿宋" w:eastAsia="仿宋" w:cs="仿宋"/>
          <w:szCs w:val="30"/>
        </w:rPr>
      </w:pPr>
      <w:r>
        <w:rPr>
          <w:rFonts w:hint="eastAsia" w:ascii="仿宋" w:hAnsi="仿宋" w:eastAsia="仿宋" w:cs="仿宋"/>
          <w:szCs w:val="30"/>
        </w:rPr>
        <w:t>本次采购维保服务的电梯共16台，其中潮连校区4台，荷塘校区12台。电梯所在地点及具体品牌参数见下表（附表1）：</w:t>
      </w:r>
    </w:p>
    <w:p w14:paraId="2078F814">
      <w:pPr>
        <w:pStyle w:val="41"/>
        <w:jc w:val="center"/>
        <w:rPr>
          <w:rFonts w:hint="default" w:ascii="仿宋" w:hAnsi="仿宋" w:eastAsia="仿宋" w:cs="仿宋"/>
          <w:sz w:val="30"/>
          <w:szCs w:val="30"/>
        </w:rPr>
      </w:pPr>
      <w:r>
        <w:rPr>
          <w:rFonts w:ascii="仿宋" w:hAnsi="仿宋" w:eastAsia="仿宋" w:cs="仿宋"/>
          <w:sz w:val="30"/>
          <w:szCs w:val="30"/>
          <w:lang w:eastAsia="zh-CN"/>
        </w:rPr>
        <w:t>表1</w:t>
      </w:r>
      <w:r>
        <w:rPr>
          <w:rFonts w:ascii="仿宋" w:hAnsi="仿宋" w:eastAsia="仿宋" w:cs="仿宋"/>
          <w:b/>
          <w:sz w:val="30"/>
          <w:szCs w:val="30"/>
        </w:rPr>
        <w:t>江门市技师学院潮连、荷塘两校区电梯明细表</w:t>
      </w:r>
    </w:p>
    <w:tbl>
      <w:tblPr>
        <w:tblStyle w:val="15"/>
        <w:tblW w:w="8630" w:type="dxa"/>
        <w:jc w:val="center"/>
        <w:tblLayout w:type="fixed"/>
        <w:tblCellMar>
          <w:top w:w="0" w:type="dxa"/>
          <w:left w:w="108" w:type="dxa"/>
          <w:bottom w:w="0" w:type="dxa"/>
          <w:right w:w="108" w:type="dxa"/>
        </w:tblCellMar>
      </w:tblPr>
      <w:tblGrid>
        <w:gridCol w:w="389"/>
        <w:gridCol w:w="442"/>
        <w:gridCol w:w="1140"/>
        <w:gridCol w:w="1185"/>
        <w:gridCol w:w="1380"/>
        <w:gridCol w:w="690"/>
        <w:gridCol w:w="690"/>
        <w:gridCol w:w="840"/>
        <w:gridCol w:w="990"/>
        <w:gridCol w:w="884"/>
      </w:tblGrid>
      <w:tr w14:paraId="0BE01A63">
        <w:tblPrEx>
          <w:tblCellMar>
            <w:top w:w="0" w:type="dxa"/>
            <w:left w:w="108" w:type="dxa"/>
            <w:bottom w:w="0" w:type="dxa"/>
            <w:right w:w="108" w:type="dxa"/>
          </w:tblCellMar>
        </w:tblPrEx>
        <w:trPr>
          <w:trHeight w:val="600" w:hRule="atLeast"/>
          <w:tblHeader/>
          <w:jc w:val="center"/>
        </w:trPr>
        <w:tc>
          <w:tcPr>
            <w:tcW w:w="389" w:type="dxa"/>
            <w:tcBorders>
              <w:top w:val="single" w:color="000000" w:sz="4" w:space="0"/>
              <w:left w:val="single" w:color="000000" w:sz="4" w:space="0"/>
              <w:bottom w:val="single" w:color="auto" w:sz="4" w:space="0"/>
              <w:right w:val="single" w:color="000000" w:sz="4" w:space="0"/>
            </w:tcBorders>
            <w:noWrap/>
            <w:vAlign w:val="center"/>
          </w:tcPr>
          <w:p w14:paraId="7EFE2035">
            <w:pPr>
              <w:widowControl/>
              <w:jc w:val="center"/>
              <w:textAlignment w:val="center"/>
              <w:rPr>
                <w:rFonts w:ascii="仿宋" w:hAnsi="仿宋" w:eastAsia="仿宋" w:cs="仿宋"/>
                <w:b/>
                <w:bCs/>
                <w:kern w:val="0"/>
                <w:sz w:val="21"/>
                <w:szCs w:val="21"/>
                <w:lang w:bidi="ar"/>
              </w:rPr>
            </w:pPr>
            <w:r>
              <w:rPr>
                <w:rFonts w:hint="eastAsia" w:ascii="仿宋" w:hAnsi="仿宋" w:eastAsia="仿宋" w:cs="仿宋"/>
                <w:b/>
                <w:bCs/>
                <w:kern w:val="0"/>
                <w:sz w:val="21"/>
                <w:szCs w:val="21"/>
                <w:lang w:bidi="ar"/>
              </w:rPr>
              <w:t>序号</w:t>
            </w:r>
          </w:p>
        </w:tc>
        <w:tc>
          <w:tcPr>
            <w:tcW w:w="442" w:type="dxa"/>
            <w:tcBorders>
              <w:top w:val="single" w:color="000000" w:sz="4" w:space="0"/>
              <w:left w:val="single" w:color="000000" w:sz="4" w:space="0"/>
              <w:bottom w:val="single" w:color="000000" w:sz="4" w:space="0"/>
              <w:right w:val="single" w:color="000000" w:sz="4" w:space="0"/>
            </w:tcBorders>
            <w:noWrap/>
            <w:vAlign w:val="center"/>
          </w:tcPr>
          <w:p w14:paraId="17B14365">
            <w:pPr>
              <w:widowControl/>
              <w:jc w:val="center"/>
              <w:textAlignment w:val="center"/>
              <w:rPr>
                <w:rFonts w:ascii="仿宋" w:hAnsi="仿宋" w:eastAsia="仿宋" w:cs="仿宋"/>
                <w:b/>
                <w:bCs/>
                <w:kern w:val="0"/>
                <w:sz w:val="21"/>
                <w:szCs w:val="21"/>
                <w:lang w:bidi="ar"/>
              </w:rPr>
            </w:pPr>
            <w:r>
              <w:rPr>
                <w:rFonts w:hint="eastAsia" w:ascii="仿宋" w:hAnsi="仿宋" w:eastAsia="仿宋" w:cs="仿宋"/>
                <w:b/>
                <w:bCs/>
                <w:kern w:val="0"/>
                <w:sz w:val="21"/>
                <w:szCs w:val="21"/>
                <w:lang w:bidi="ar"/>
              </w:rPr>
              <w:t>校区</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26416FE4">
            <w:pPr>
              <w:widowControl/>
              <w:jc w:val="center"/>
              <w:textAlignment w:val="center"/>
              <w:rPr>
                <w:rFonts w:ascii="仿宋" w:hAnsi="仿宋" w:eastAsia="仿宋" w:cs="仿宋"/>
                <w:b/>
                <w:bCs/>
                <w:kern w:val="0"/>
                <w:sz w:val="21"/>
                <w:szCs w:val="21"/>
                <w:lang w:bidi="ar"/>
              </w:rPr>
            </w:pPr>
            <w:r>
              <w:rPr>
                <w:rFonts w:hint="eastAsia" w:ascii="仿宋" w:hAnsi="仿宋" w:eastAsia="仿宋" w:cs="仿宋"/>
                <w:b/>
                <w:bCs/>
                <w:kern w:val="0"/>
                <w:sz w:val="21"/>
                <w:szCs w:val="21"/>
                <w:lang w:bidi="ar"/>
              </w:rPr>
              <w:t>电梯安装位置</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7414D9B1">
            <w:pPr>
              <w:widowControl/>
              <w:jc w:val="center"/>
              <w:textAlignment w:val="center"/>
              <w:rPr>
                <w:rFonts w:ascii="仿宋" w:hAnsi="仿宋" w:eastAsia="仿宋" w:cs="仿宋"/>
                <w:b/>
                <w:bCs/>
                <w:kern w:val="0"/>
                <w:sz w:val="21"/>
                <w:szCs w:val="21"/>
                <w:lang w:bidi="ar"/>
              </w:rPr>
            </w:pPr>
            <w:r>
              <w:rPr>
                <w:rFonts w:hint="eastAsia" w:ascii="仿宋" w:hAnsi="仿宋" w:eastAsia="仿宋" w:cs="仿宋"/>
                <w:b/>
                <w:bCs/>
                <w:kern w:val="0"/>
                <w:sz w:val="21"/>
                <w:szCs w:val="21"/>
                <w:lang w:bidi="ar"/>
              </w:rPr>
              <w:t>制造单位名称</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42538BA5">
            <w:pPr>
              <w:widowControl/>
              <w:jc w:val="center"/>
              <w:textAlignment w:val="center"/>
              <w:rPr>
                <w:rFonts w:ascii="仿宋" w:hAnsi="仿宋" w:eastAsia="仿宋" w:cs="仿宋"/>
                <w:b/>
                <w:bCs/>
                <w:sz w:val="21"/>
                <w:szCs w:val="21"/>
              </w:rPr>
            </w:pPr>
            <w:r>
              <w:rPr>
                <w:rFonts w:hint="eastAsia" w:ascii="仿宋" w:hAnsi="仿宋" w:eastAsia="仿宋" w:cs="仿宋"/>
                <w:b/>
                <w:bCs/>
                <w:kern w:val="0"/>
                <w:sz w:val="21"/>
                <w:szCs w:val="21"/>
                <w:lang w:bidi="ar"/>
              </w:rPr>
              <w:t>设备代码</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2AD634F">
            <w:pPr>
              <w:widowControl/>
              <w:jc w:val="center"/>
              <w:textAlignment w:val="center"/>
              <w:rPr>
                <w:rFonts w:ascii="仿宋" w:hAnsi="仿宋" w:eastAsia="仿宋" w:cs="仿宋"/>
                <w:b/>
                <w:bCs/>
                <w:kern w:val="0"/>
                <w:sz w:val="21"/>
                <w:szCs w:val="21"/>
                <w:lang w:bidi="ar"/>
              </w:rPr>
            </w:pPr>
            <w:r>
              <w:rPr>
                <w:rFonts w:hint="eastAsia" w:ascii="仿宋" w:hAnsi="仿宋" w:eastAsia="仿宋" w:cs="仿宋"/>
                <w:b/>
                <w:bCs/>
                <w:kern w:val="0"/>
                <w:sz w:val="21"/>
                <w:szCs w:val="21"/>
                <w:lang w:bidi="ar"/>
              </w:rPr>
              <w:t>额定载重量(kg)</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4C469A8">
            <w:pPr>
              <w:widowControl/>
              <w:jc w:val="center"/>
              <w:textAlignment w:val="center"/>
              <w:rPr>
                <w:rFonts w:ascii="仿宋" w:hAnsi="仿宋" w:eastAsia="仿宋" w:cs="仿宋"/>
                <w:b/>
                <w:bCs/>
                <w:kern w:val="0"/>
                <w:sz w:val="21"/>
                <w:szCs w:val="21"/>
                <w:lang w:bidi="ar"/>
              </w:rPr>
            </w:pPr>
            <w:r>
              <w:rPr>
                <w:rFonts w:hint="eastAsia" w:ascii="仿宋" w:hAnsi="仿宋" w:eastAsia="仿宋" w:cs="仿宋"/>
                <w:b/>
                <w:bCs/>
                <w:kern w:val="0"/>
                <w:sz w:val="21"/>
                <w:szCs w:val="21"/>
                <w:lang w:bidi="ar"/>
              </w:rPr>
              <w:t>额定速度m/s</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4506707">
            <w:pPr>
              <w:widowControl/>
              <w:jc w:val="center"/>
              <w:textAlignment w:val="center"/>
              <w:rPr>
                <w:rFonts w:ascii="仿宋" w:hAnsi="仿宋" w:eastAsia="仿宋" w:cs="仿宋"/>
                <w:b/>
                <w:bCs/>
                <w:kern w:val="0"/>
                <w:sz w:val="21"/>
                <w:szCs w:val="21"/>
                <w:lang w:bidi="ar"/>
              </w:rPr>
            </w:pPr>
            <w:r>
              <w:rPr>
                <w:rFonts w:hint="eastAsia" w:ascii="仿宋" w:hAnsi="仿宋" w:eastAsia="仿宋" w:cs="仿宋"/>
                <w:b/>
                <w:bCs/>
                <w:kern w:val="0"/>
                <w:sz w:val="21"/>
                <w:szCs w:val="21"/>
                <w:lang w:bidi="ar"/>
              </w:rPr>
              <w:t>层站门数</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517E0A1B">
            <w:pPr>
              <w:widowControl/>
              <w:jc w:val="center"/>
              <w:textAlignment w:val="center"/>
              <w:rPr>
                <w:rFonts w:ascii="仿宋" w:hAnsi="仿宋" w:eastAsia="仿宋" w:cs="仿宋"/>
                <w:b/>
                <w:bCs/>
                <w:sz w:val="21"/>
                <w:szCs w:val="21"/>
              </w:rPr>
            </w:pPr>
            <w:r>
              <w:rPr>
                <w:rFonts w:hint="eastAsia" w:ascii="仿宋" w:hAnsi="仿宋" w:eastAsia="仿宋" w:cs="仿宋"/>
                <w:b/>
                <w:bCs/>
                <w:kern w:val="0"/>
                <w:sz w:val="21"/>
                <w:szCs w:val="21"/>
                <w:lang w:bidi="ar"/>
              </w:rPr>
              <w:t>维保期限</w:t>
            </w:r>
          </w:p>
        </w:tc>
        <w:tc>
          <w:tcPr>
            <w:tcW w:w="884" w:type="dxa"/>
            <w:tcBorders>
              <w:top w:val="single" w:color="000000" w:sz="4" w:space="0"/>
              <w:left w:val="single" w:color="000000" w:sz="4" w:space="0"/>
              <w:bottom w:val="single" w:color="000000" w:sz="4" w:space="0"/>
              <w:right w:val="single" w:color="000000" w:sz="4" w:space="0"/>
            </w:tcBorders>
            <w:noWrap/>
            <w:vAlign w:val="center"/>
          </w:tcPr>
          <w:p w14:paraId="19457870">
            <w:pPr>
              <w:widowControl/>
              <w:jc w:val="center"/>
              <w:textAlignment w:val="center"/>
              <w:rPr>
                <w:rFonts w:ascii="仿宋" w:hAnsi="仿宋" w:eastAsia="仿宋" w:cs="仿宋"/>
                <w:b/>
                <w:bCs/>
                <w:kern w:val="0"/>
                <w:sz w:val="21"/>
                <w:szCs w:val="21"/>
                <w:lang w:bidi="ar"/>
              </w:rPr>
            </w:pPr>
            <w:r>
              <w:rPr>
                <w:rFonts w:hint="eastAsia" w:ascii="仿宋" w:hAnsi="仿宋" w:eastAsia="仿宋" w:cs="仿宋"/>
                <w:b/>
                <w:bCs/>
                <w:kern w:val="0"/>
                <w:sz w:val="21"/>
                <w:szCs w:val="21"/>
                <w:lang w:bidi="ar"/>
              </w:rPr>
              <w:t>维保时长</w:t>
            </w:r>
          </w:p>
        </w:tc>
      </w:tr>
      <w:tr w14:paraId="72F31BE1">
        <w:tblPrEx>
          <w:tblCellMar>
            <w:top w:w="0" w:type="dxa"/>
            <w:left w:w="108" w:type="dxa"/>
            <w:bottom w:w="0" w:type="dxa"/>
            <w:right w:w="108" w:type="dxa"/>
          </w:tblCellMar>
        </w:tblPrEx>
        <w:trPr>
          <w:trHeight w:val="454" w:hRule="atLeast"/>
          <w:jc w:val="center"/>
        </w:trPr>
        <w:tc>
          <w:tcPr>
            <w:tcW w:w="389" w:type="dxa"/>
            <w:tcBorders>
              <w:top w:val="single" w:color="auto" w:sz="4" w:space="0"/>
              <w:left w:val="single" w:color="auto" w:sz="4" w:space="0"/>
              <w:bottom w:val="single" w:color="auto" w:sz="4" w:space="0"/>
              <w:right w:val="single" w:color="auto" w:sz="4" w:space="0"/>
            </w:tcBorders>
            <w:noWrap/>
            <w:vAlign w:val="center"/>
          </w:tcPr>
          <w:p w14:paraId="02B075A5">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w:t>
            </w:r>
          </w:p>
        </w:tc>
        <w:tc>
          <w:tcPr>
            <w:tcW w:w="442" w:type="dxa"/>
            <w:vMerge w:val="restart"/>
            <w:tcBorders>
              <w:top w:val="single" w:color="000000" w:sz="4" w:space="0"/>
              <w:left w:val="single" w:color="auto" w:sz="4" w:space="0"/>
              <w:right w:val="single" w:color="000000" w:sz="4" w:space="0"/>
            </w:tcBorders>
            <w:noWrap/>
            <w:vAlign w:val="center"/>
          </w:tcPr>
          <w:p w14:paraId="4464055D">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潮连校区</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7580FD4">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综合楼A梯</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278C5C08">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广州广日电梯工业有限公司</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1CD57AD7">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31104407002021030106</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92B5CA5">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1050</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358451A">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D473382">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8层8站8门</w:t>
            </w:r>
          </w:p>
        </w:tc>
        <w:tc>
          <w:tcPr>
            <w:tcW w:w="990" w:type="dxa"/>
            <w:tcBorders>
              <w:top w:val="single" w:color="000000" w:sz="4" w:space="0"/>
              <w:left w:val="nil"/>
              <w:bottom w:val="single" w:color="000000" w:sz="4" w:space="0"/>
              <w:right w:val="single" w:color="000000" w:sz="4" w:space="0"/>
            </w:tcBorders>
            <w:noWrap/>
            <w:vAlign w:val="center"/>
          </w:tcPr>
          <w:p w14:paraId="405BBAB1">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2026.1.12-2028.7.31</w:t>
            </w:r>
          </w:p>
        </w:tc>
        <w:tc>
          <w:tcPr>
            <w:tcW w:w="884" w:type="dxa"/>
            <w:tcBorders>
              <w:top w:val="single" w:color="000000" w:sz="4" w:space="0"/>
              <w:left w:val="nil"/>
              <w:bottom w:val="single" w:color="000000" w:sz="4" w:space="0"/>
              <w:right w:val="single" w:color="000000" w:sz="4" w:space="0"/>
            </w:tcBorders>
            <w:noWrap/>
            <w:vAlign w:val="center"/>
          </w:tcPr>
          <w:p w14:paraId="57B92EB5">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30个月20天</w:t>
            </w:r>
          </w:p>
        </w:tc>
      </w:tr>
      <w:tr w14:paraId="2DBA1187">
        <w:tblPrEx>
          <w:tblCellMar>
            <w:top w:w="0" w:type="dxa"/>
            <w:left w:w="108" w:type="dxa"/>
            <w:bottom w:w="0" w:type="dxa"/>
            <w:right w:w="108" w:type="dxa"/>
          </w:tblCellMar>
        </w:tblPrEx>
        <w:trPr>
          <w:trHeight w:val="454" w:hRule="atLeast"/>
          <w:jc w:val="center"/>
        </w:trPr>
        <w:tc>
          <w:tcPr>
            <w:tcW w:w="389" w:type="dxa"/>
            <w:tcBorders>
              <w:top w:val="single" w:color="auto" w:sz="4" w:space="0"/>
              <w:left w:val="single" w:color="auto" w:sz="4" w:space="0"/>
              <w:bottom w:val="single" w:color="auto" w:sz="4" w:space="0"/>
              <w:right w:val="single" w:color="auto" w:sz="4" w:space="0"/>
            </w:tcBorders>
            <w:noWrap/>
            <w:vAlign w:val="center"/>
          </w:tcPr>
          <w:p w14:paraId="5C5295B7">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2</w:t>
            </w:r>
          </w:p>
        </w:tc>
        <w:tc>
          <w:tcPr>
            <w:tcW w:w="442" w:type="dxa"/>
            <w:vMerge w:val="continue"/>
            <w:tcBorders>
              <w:left w:val="single" w:color="auto" w:sz="4" w:space="0"/>
              <w:right w:val="single" w:color="000000" w:sz="4" w:space="0"/>
            </w:tcBorders>
            <w:noWrap/>
            <w:vAlign w:val="center"/>
          </w:tcPr>
          <w:p w14:paraId="45B79EF4">
            <w:pPr>
              <w:widowControl/>
              <w:jc w:val="center"/>
              <w:textAlignment w:val="center"/>
              <w:rPr>
                <w:rFonts w:ascii="仿宋" w:hAnsi="仿宋" w:eastAsia="仿宋" w:cs="仿宋"/>
                <w:kern w:val="0"/>
                <w:sz w:val="21"/>
                <w:szCs w:val="21"/>
                <w:lang w:bidi="ar"/>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1251B77">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综合楼B梯</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35CA40E1">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广州广日电梯工业有限公司</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3C3B5711">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31104407002021050036</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F20B41B">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1050</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51B65B5F">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78A8A53">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8层8站8门</w:t>
            </w:r>
          </w:p>
        </w:tc>
        <w:tc>
          <w:tcPr>
            <w:tcW w:w="990" w:type="dxa"/>
            <w:tcBorders>
              <w:top w:val="single" w:color="000000" w:sz="4" w:space="0"/>
              <w:left w:val="nil"/>
              <w:bottom w:val="single" w:color="000000" w:sz="4" w:space="0"/>
              <w:right w:val="single" w:color="000000" w:sz="4" w:space="0"/>
            </w:tcBorders>
            <w:noWrap/>
            <w:vAlign w:val="center"/>
          </w:tcPr>
          <w:p w14:paraId="2DA7D0CA">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2026.3.16-2028.7.31</w:t>
            </w:r>
          </w:p>
        </w:tc>
        <w:tc>
          <w:tcPr>
            <w:tcW w:w="884" w:type="dxa"/>
            <w:tcBorders>
              <w:top w:val="single" w:color="000000" w:sz="4" w:space="0"/>
              <w:left w:val="nil"/>
              <w:bottom w:val="single" w:color="000000" w:sz="4" w:space="0"/>
              <w:right w:val="single" w:color="000000" w:sz="4" w:space="0"/>
            </w:tcBorders>
            <w:noWrap/>
            <w:vAlign w:val="center"/>
          </w:tcPr>
          <w:p w14:paraId="0C2287D4">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28个月16天</w:t>
            </w:r>
          </w:p>
        </w:tc>
      </w:tr>
      <w:tr w14:paraId="670811EE">
        <w:tblPrEx>
          <w:tblCellMar>
            <w:top w:w="0" w:type="dxa"/>
            <w:left w:w="108" w:type="dxa"/>
            <w:bottom w:w="0" w:type="dxa"/>
            <w:right w:w="108" w:type="dxa"/>
          </w:tblCellMar>
        </w:tblPrEx>
        <w:trPr>
          <w:cantSplit/>
          <w:trHeight w:val="454" w:hRule="atLeast"/>
          <w:jc w:val="center"/>
        </w:trPr>
        <w:tc>
          <w:tcPr>
            <w:tcW w:w="389" w:type="dxa"/>
            <w:tcBorders>
              <w:top w:val="single" w:color="auto" w:sz="4" w:space="0"/>
              <w:left w:val="single" w:color="auto" w:sz="4" w:space="0"/>
              <w:bottom w:val="single" w:color="auto" w:sz="4" w:space="0"/>
              <w:right w:val="single" w:color="auto" w:sz="4" w:space="0"/>
            </w:tcBorders>
            <w:noWrap/>
            <w:vAlign w:val="center"/>
          </w:tcPr>
          <w:p w14:paraId="1376D4A1">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3</w:t>
            </w:r>
          </w:p>
        </w:tc>
        <w:tc>
          <w:tcPr>
            <w:tcW w:w="442" w:type="dxa"/>
            <w:vMerge w:val="continue"/>
            <w:tcBorders>
              <w:left w:val="single" w:color="auto" w:sz="4" w:space="0"/>
              <w:right w:val="single" w:color="000000" w:sz="4" w:space="0"/>
            </w:tcBorders>
            <w:noWrap/>
            <w:vAlign w:val="center"/>
          </w:tcPr>
          <w:p w14:paraId="56D05365">
            <w:pPr>
              <w:widowControl/>
              <w:jc w:val="center"/>
              <w:textAlignment w:val="center"/>
              <w:rPr>
                <w:rFonts w:ascii="仿宋" w:hAnsi="仿宋" w:eastAsia="仿宋" w:cs="仿宋"/>
                <w:kern w:val="0"/>
                <w:sz w:val="21"/>
                <w:szCs w:val="21"/>
                <w:lang w:bidi="ar"/>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912FA33">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方君学实训楼1#引驱动载货电梯</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1129C4C7">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上海三菱电梯有限公司</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57EBED1F">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31204407002024070277</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AE0AE85">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10000</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14D75FFA">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0.5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135DE98">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6层6站6门</w:t>
            </w:r>
          </w:p>
        </w:tc>
        <w:tc>
          <w:tcPr>
            <w:tcW w:w="990" w:type="dxa"/>
            <w:tcBorders>
              <w:top w:val="single" w:color="000000" w:sz="4" w:space="0"/>
              <w:left w:val="nil"/>
              <w:bottom w:val="single" w:color="000000" w:sz="4" w:space="0"/>
              <w:right w:val="single" w:color="000000" w:sz="4" w:space="0"/>
            </w:tcBorders>
            <w:noWrap/>
            <w:vAlign w:val="center"/>
          </w:tcPr>
          <w:p w14:paraId="5E1483E5">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2026.7.20-2028.7.31</w:t>
            </w:r>
          </w:p>
        </w:tc>
        <w:tc>
          <w:tcPr>
            <w:tcW w:w="884" w:type="dxa"/>
            <w:tcBorders>
              <w:top w:val="single" w:color="000000" w:sz="4" w:space="0"/>
              <w:left w:val="nil"/>
              <w:bottom w:val="single" w:color="000000" w:sz="4" w:space="0"/>
              <w:right w:val="single" w:color="000000" w:sz="4" w:space="0"/>
            </w:tcBorders>
            <w:noWrap/>
            <w:vAlign w:val="center"/>
          </w:tcPr>
          <w:p w14:paraId="7021B1B9">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24个月12天</w:t>
            </w:r>
          </w:p>
        </w:tc>
      </w:tr>
      <w:tr w14:paraId="53696FEF">
        <w:tblPrEx>
          <w:tblCellMar>
            <w:top w:w="0" w:type="dxa"/>
            <w:left w:w="108" w:type="dxa"/>
            <w:bottom w:w="0" w:type="dxa"/>
            <w:right w:w="108" w:type="dxa"/>
          </w:tblCellMar>
        </w:tblPrEx>
        <w:trPr>
          <w:trHeight w:val="454" w:hRule="atLeast"/>
          <w:jc w:val="center"/>
        </w:trPr>
        <w:tc>
          <w:tcPr>
            <w:tcW w:w="389" w:type="dxa"/>
            <w:tcBorders>
              <w:top w:val="single" w:color="auto" w:sz="4" w:space="0"/>
              <w:left w:val="single" w:color="auto" w:sz="4" w:space="0"/>
              <w:bottom w:val="single" w:color="auto" w:sz="4" w:space="0"/>
              <w:right w:val="single" w:color="auto" w:sz="4" w:space="0"/>
            </w:tcBorders>
            <w:noWrap/>
            <w:vAlign w:val="center"/>
          </w:tcPr>
          <w:p w14:paraId="1C3A44FA">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4</w:t>
            </w:r>
          </w:p>
        </w:tc>
        <w:tc>
          <w:tcPr>
            <w:tcW w:w="442" w:type="dxa"/>
            <w:vMerge w:val="continue"/>
            <w:tcBorders>
              <w:left w:val="single" w:color="auto" w:sz="4" w:space="0"/>
              <w:right w:val="single" w:color="000000" w:sz="4" w:space="0"/>
            </w:tcBorders>
            <w:noWrap/>
            <w:vAlign w:val="center"/>
          </w:tcPr>
          <w:p w14:paraId="52728E47">
            <w:pPr>
              <w:widowControl/>
              <w:jc w:val="center"/>
              <w:textAlignment w:val="center"/>
              <w:rPr>
                <w:rFonts w:ascii="仿宋" w:hAnsi="仿宋" w:eastAsia="仿宋" w:cs="仿宋"/>
                <w:kern w:val="0"/>
                <w:sz w:val="21"/>
                <w:szCs w:val="21"/>
                <w:lang w:bidi="ar"/>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2F049AFE">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中欧实训楼（新教学大楼）</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23902627">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广东威得利电梯有限公司</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2413237D">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32404407002017110001</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4BB1998A">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3000</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586E2D0">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0.5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91E91D5">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6层6站6门</w:t>
            </w:r>
          </w:p>
        </w:tc>
        <w:tc>
          <w:tcPr>
            <w:tcW w:w="990" w:type="dxa"/>
            <w:tcBorders>
              <w:top w:val="single" w:color="000000" w:sz="4" w:space="0"/>
              <w:left w:val="nil"/>
              <w:bottom w:val="single" w:color="000000" w:sz="4" w:space="0"/>
              <w:right w:val="single" w:color="000000" w:sz="4" w:space="0"/>
            </w:tcBorders>
            <w:noWrap/>
            <w:vAlign w:val="center"/>
          </w:tcPr>
          <w:p w14:paraId="00E703EF">
            <w:pPr>
              <w:widowControl/>
              <w:jc w:val="center"/>
              <w:textAlignment w:val="center"/>
              <w:rPr>
                <w:rFonts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2025.10.</w:t>
            </w:r>
            <w:r>
              <w:rPr>
                <w:rFonts w:hint="eastAsia" w:ascii="仿宋" w:hAnsi="仿宋" w:eastAsia="仿宋" w:cs="仿宋"/>
                <w:color w:val="auto"/>
                <w:kern w:val="0"/>
                <w:sz w:val="21"/>
                <w:szCs w:val="21"/>
                <w:lang w:val="en-US" w:eastAsia="zh-CN" w:bidi="ar"/>
              </w:rPr>
              <w:t>2</w:t>
            </w:r>
            <w:r>
              <w:rPr>
                <w:rFonts w:hint="eastAsia" w:ascii="仿宋" w:hAnsi="仿宋" w:eastAsia="仿宋" w:cs="仿宋"/>
                <w:color w:val="auto"/>
                <w:kern w:val="0"/>
                <w:sz w:val="21"/>
                <w:szCs w:val="21"/>
                <w:lang w:bidi="ar"/>
              </w:rPr>
              <w:t>1-2028.7.31</w:t>
            </w:r>
          </w:p>
        </w:tc>
        <w:tc>
          <w:tcPr>
            <w:tcW w:w="884" w:type="dxa"/>
            <w:tcBorders>
              <w:top w:val="single" w:color="000000" w:sz="4" w:space="0"/>
              <w:left w:val="nil"/>
              <w:bottom w:val="single" w:color="000000" w:sz="4" w:space="0"/>
              <w:right w:val="single" w:color="000000" w:sz="4" w:space="0"/>
            </w:tcBorders>
            <w:noWrap/>
            <w:vAlign w:val="center"/>
          </w:tcPr>
          <w:p w14:paraId="0399330B">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3</w:t>
            </w:r>
            <w:r>
              <w:rPr>
                <w:rFonts w:hint="eastAsia" w:ascii="仿宋" w:hAnsi="仿宋" w:eastAsia="仿宋" w:cs="仿宋"/>
                <w:color w:val="auto"/>
                <w:kern w:val="0"/>
                <w:sz w:val="21"/>
                <w:szCs w:val="21"/>
                <w:lang w:val="en-US" w:eastAsia="zh-CN" w:bidi="ar"/>
              </w:rPr>
              <w:t>3</w:t>
            </w:r>
            <w:r>
              <w:rPr>
                <w:rFonts w:hint="eastAsia" w:ascii="仿宋" w:hAnsi="仿宋" w:eastAsia="仿宋" w:cs="仿宋"/>
                <w:color w:val="auto"/>
                <w:kern w:val="0"/>
                <w:sz w:val="21"/>
                <w:szCs w:val="21"/>
                <w:lang w:bidi="ar"/>
              </w:rPr>
              <w:t>个月</w:t>
            </w:r>
            <w:r>
              <w:rPr>
                <w:rFonts w:hint="eastAsia" w:ascii="仿宋" w:hAnsi="仿宋" w:eastAsia="仿宋" w:cs="仿宋"/>
                <w:color w:val="auto"/>
                <w:kern w:val="0"/>
                <w:sz w:val="21"/>
                <w:szCs w:val="21"/>
                <w:lang w:val="en-US" w:eastAsia="zh-CN" w:bidi="ar"/>
              </w:rPr>
              <w:t>11天</w:t>
            </w:r>
          </w:p>
        </w:tc>
      </w:tr>
      <w:tr w14:paraId="4CCD102B">
        <w:tblPrEx>
          <w:tblCellMar>
            <w:top w:w="0" w:type="dxa"/>
            <w:left w:w="108" w:type="dxa"/>
            <w:bottom w:w="0" w:type="dxa"/>
            <w:right w:w="108" w:type="dxa"/>
          </w:tblCellMar>
        </w:tblPrEx>
        <w:trPr>
          <w:trHeight w:val="454" w:hRule="atLeast"/>
          <w:jc w:val="center"/>
        </w:trPr>
        <w:tc>
          <w:tcPr>
            <w:tcW w:w="389" w:type="dxa"/>
            <w:tcBorders>
              <w:top w:val="single" w:color="auto" w:sz="4" w:space="0"/>
              <w:left w:val="single" w:color="auto" w:sz="4" w:space="0"/>
              <w:bottom w:val="single" w:color="auto" w:sz="4" w:space="0"/>
              <w:right w:val="single" w:color="auto" w:sz="4" w:space="0"/>
            </w:tcBorders>
            <w:noWrap/>
            <w:vAlign w:val="center"/>
          </w:tcPr>
          <w:p w14:paraId="073A7A27">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5</w:t>
            </w:r>
          </w:p>
        </w:tc>
        <w:tc>
          <w:tcPr>
            <w:tcW w:w="442" w:type="dxa"/>
            <w:vMerge w:val="restart"/>
            <w:tcBorders>
              <w:top w:val="single" w:color="000000" w:sz="4" w:space="0"/>
              <w:left w:val="single" w:color="auto" w:sz="4" w:space="0"/>
              <w:right w:val="single" w:color="000000" w:sz="4" w:space="0"/>
            </w:tcBorders>
            <w:noWrap/>
            <w:vAlign w:val="center"/>
          </w:tcPr>
          <w:p w14:paraId="7E6EE42F">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荷塘校区</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3126C08">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综合楼1#曳引驱动乘客电梯</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5DB0F0B0">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广州广日电梯工业有限公司</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19E5F9F3">
            <w:pPr>
              <w:widowControl/>
              <w:jc w:val="center"/>
              <w:textAlignment w:val="center"/>
              <w:rPr>
                <w:rFonts w:ascii="仿宋" w:hAnsi="仿宋" w:eastAsia="仿宋" w:cs="仿宋"/>
                <w:sz w:val="21"/>
                <w:szCs w:val="21"/>
              </w:rPr>
            </w:pPr>
            <w:r>
              <w:rPr>
                <w:rFonts w:hint="eastAsia" w:ascii="仿宋" w:hAnsi="仿宋" w:eastAsia="仿宋" w:cs="仿宋"/>
                <w:sz w:val="21"/>
                <w:szCs w:val="21"/>
              </w:rPr>
              <w:t>311044070020230</w:t>
            </w:r>
            <w:r>
              <w:rPr>
                <w:rFonts w:hint="eastAsia" w:ascii="仿宋" w:hAnsi="仿宋" w:eastAsia="仿宋" w:cs="仿宋"/>
                <w:sz w:val="24"/>
                <w:szCs w:val="24"/>
              </w:rPr>
              <w:t>5</w:t>
            </w:r>
            <w:r>
              <w:rPr>
                <w:rFonts w:hint="eastAsia" w:ascii="仿宋" w:hAnsi="仿宋" w:eastAsia="仿宋" w:cs="仿宋"/>
                <w:sz w:val="21"/>
                <w:szCs w:val="21"/>
              </w:rPr>
              <w:t>0331</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7FE8309F">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1150</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5B1F482E">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1.75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C50DCF7">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10层10站10门</w:t>
            </w:r>
          </w:p>
        </w:tc>
        <w:tc>
          <w:tcPr>
            <w:tcW w:w="990" w:type="dxa"/>
            <w:tcBorders>
              <w:top w:val="single" w:color="000000" w:sz="4" w:space="0"/>
              <w:left w:val="nil"/>
              <w:bottom w:val="single" w:color="000000" w:sz="4" w:space="0"/>
              <w:right w:val="single" w:color="000000" w:sz="4" w:space="0"/>
            </w:tcBorders>
            <w:noWrap/>
            <w:vAlign w:val="center"/>
          </w:tcPr>
          <w:p w14:paraId="5B544BCD">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2025.10.21-2028.7.31</w:t>
            </w:r>
          </w:p>
        </w:tc>
        <w:tc>
          <w:tcPr>
            <w:tcW w:w="884" w:type="dxa"/>
            <w:tcBorders>
              <w:top w:val="single" w:color="000000" w:sz="4" w:space="0"/>
              <w:left w:val="nil"/>
              <w:bottom w:val="single" w:color="000000" w:sz="4" w:space="0"/>
              <w:right w:val="single" w:color="000000" w:sz="4" w:space="0"/>
            </w:tcBorders>
            <w:noWrap/>
            <w:vAlign w:val="center"/>
          </w:tcPr>
          <w:p w14:paraId="47491FEC">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33个月11天</w:t>
            </w:r>
          </w:p>
        </w:tc>
      </w:tr>
      <w:tr w14:paraId="5B8FEF39">
        <w:tblPrEx>
          <w:tblCellMar>
            <w:top w:w="0" w:type="dxa"/>
            <w:left w:w="108" w:type="dxa"/>
            <w:bottom w:w="0" w:type="dxa"/>
            <w:right w:w="108" w:type="dxa"/>
          </w:tblCellMar>
        </w:tblPrEx>
        <w:trPr>
          <w:trHeight w:val="454" w:hRule="atLeast"/>
          <w:jc w:val="center"/>
        </w:trPr>
        <w:tc>
          <w:tcPr>
            <w:tcW w:w="389" w:type="dxa"/>
            <w:tcBorders>
              <w:top w:val="single" w:color="auto" w:sz="4" w:space="0"/>
              <w:left w:val="single" w:color="auto" w:sz="4" w:space="0"/>
              <w:bottom w:val="single" w:color="auto" w:sz="4" w:space="0"/>
              <w:right w:val="single" w:color="auto" w:sz="4" w:space="0"/>
            </w:tcBorders>
            <w:noWrap/>
            <w:vAlign w:val="center"/>
          </w:tcPr>
          <w:p w14:paraId="6D293A8A">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6</w:t>
            </w:r>
          </w:p>
        </w:tc>
        <w:tc>
          <w:tcPr>
            <w:tcW w:w="442" w:type="dxa"/>
            <w:vMerge w:val="continue"/>
            <w:tcBorders>
              <w:left w:val="single" w:color="auto" w:sz="4" w:space="0"/>
              <w:right w:val="single" w:color="000000" w:sz="4" w:space="0"/>
            </w:tcBorders>
            <w:noWrap/>
            <w:vAlign w:val="center"/>
          </w:tcPr>
          <w:p w14:paraId="26731955">
            <w:pPr>
              <w:widowControl/>
              <w:jc w:val="center"/>
              <w:textAlignment w:val="center"/>
              <w:rPr>
                <w:rFonts w:ascii="仿宋" w:hAnsi="仿宋" w:eastAsia="仿宋" w:cs="仿宋"/>
                <w:kern w:val="0"/>
                <w:sz w:val="21"/>
                <w:szCs w:val="21"/>
                <w:lang w:bidi="ar"/>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4DB2378">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综合楼2#曳引驱动乘客电梯</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266D5D92">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广州广日电梯工业有限公司</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40595F93">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31104407002023050334</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D739B65">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1150</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E43559F">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1.75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39216E4">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10层10站10门</w:t>
            </w:r>
          </w:p>
        </w:tc>
        <w:tc>
          <w:tcPr>
            <w:tcW w:w="990" w:type="dxa"/>
            <w:tcBorders>
              <w:top w:val="single" w:color="000000" w:sz="4" w:space="0"/>
              <w:left w:val="nil"/>
              <w:bottom w:val="single" w:color="000000" w:sz="4" w:space="0"/>
              <w:right w:val="single" w:color="000000" w:sz="4" w:space="0"/>
            </w:tcBorders>
            <w:noWrap/>
            <w:vAlign w:val="center"/>
          </w:tcPr>
          <w:p w14:paraId="69AA1764">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2025.10.21-2028.7.31</w:t>
            </w:r>
          </w:p>
        </w:tc>
        <w:tc>
          <w:tcPr>
            <w:tcW w:w="884" w:type="dxa"/>
            <w:tcBorders>
              <w:top w:val="single" w:color="000000" w:sz="4" w:space="0"/>
              <w:left w:val="nil"/>
              <w:bottom w:val="single" w:color="000000" w:sz="4" w:space="0"/>
              <w:right w:val="single" w:color="000000" w:sz="4" w:space="0"/>
            </w:tcBorders>
            <w:noWrap/>
            <w:vAlign w:val="center"/>
          </w:tcPr>
          <w:p w14:paraId="209132F5">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33个月11天</w:t>
            </w:r>
          </w:p>
        </w:tc>
      </w:tr>
      <w:tr w14:paraId="2953BDB8">
        <w:tblPrEx>
          <w:tblCellMar>
            <w:top w:w="0" w:type="dxa"/>
            <w:left w:w="108" w:type="dxa"/>
            <w:bottom w:w="0" w:type="dxa"/>
            <w:right w:w="108" w:type="dxa"/>
          </w:tblCellMar>
        </w:tblPrEx>
        <w:trPr>
          <w:trHeight w:val="454" w:hRule="atLeast"/>
          <w:jc w:val="center"/>
        </w:trPr>
        <w:tc>
          <w:tcPr>
            <w:tcW w:w="389" w:type="dxa"/>
            <w:tcBorders>
              <w:top w:val="single" w:color="auto" w:sz="4" w:space="0"/>
              <w:left w:val="single" w:color="auto" w:sz="4" w:space="0"/>
              <w:bottom w:val="single" w:color="auto" w:sz="4" w:space="0"/>
              <w:right w:val="single" w:color="auto" w:sz="4" w:space="0"/>
            </w:tcBorders>
            <w:noWrap/>
            <w:vAlign w:val="center"/>
          </w:tcPr>
          <w:p w14:paraId="73FEFCAB">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7</w:t>
            </w:r>
          </w:p>
        </w:tc>
        <w:tc>
          <w:tcPr>
            <w:tcW w:w="442" w:type="dxa"/>
            <w:vMerge w:val="continue"/>
            <w:tcBorders>
              <w:left w:val="single" w:color="auto" w:sz="4" w:space="0"/>
              <w:right w:val="single" w:color="000000" w:sz="4" w:space="0"/>
            </w:tcBorders>
            <w:noWrap/>
            <w:vAlign w:val="center"/>
          </w:tcPr>
          <w:p w14:paraId="6255F27E">
            <w:pPr>
              <w:widowControl/>
              <w:jc w:val="center"/>
              <w:textAlignment w:val="center"/>
              <w:rPr>
                <w:rFonts w:ascii="仿宋" w:hAnsi="仿宋" w:eastAsia="仿宋" w:cs="仿宋"/>
                <w:kern w:val="0"/>
                <w:sz w:val="21"/>
                <w:szCs w:val="21"/>
                <w:lang w:bidi="ar"/>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2BC5A02F">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综合楼3#曳引驱动乘客电梯</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35BCE7EC">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广州广日电梯工业有限公司</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11573462">
            <w:pPr>
              <w:widowControl/>
              <w:jc w:val="center"/>
              <w:textAlignment w:val="center"/>
              <w:rPr>
                <w:rFonts w:ascii="仿宋" w:hAnsi="仿宋" w:eastAsia="仿宋" w:cs="仿宋"/>
                <w:sz w:val="21"/>
                <w:szCs w:val="21"/>
              </w:rPr>
            </w:pPr>
            <w:r>
              <w:rPr>
                <w:rFonts w:hint="eastAsia" w:ascii="仿宋" w:hAnsi="仿宋" w:eastAsia="仿宋" w:cs="仿宋"/>
                <w:sz w:val="21"/>
                <w:szCs w:val="21"/>
              </w:rPr>
              <w:t>31104407002023070059</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50A3FCEF">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1150</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E4F1FCD">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1.75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18F4E79">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10层10站10门</w:t>
            </w:r>
          </w:p>
        </w:tc>
        <w:tc>
          <w:tcPr>
            <w:tcW w:w="990" w:type="dxa"/>
            <w:tcBorders>
              <w:top w:val="single" w:color="000000" w:sz="4" w:space="0"/>
              <w:left w:val="nil"/>
              <w:bottom w:val="single" w:color="000000" w:sz="4" w:space="0"/>
              <w:right w:val="single" w:color="000000" w:sz="4" w:space="0"/>
            </w:tcBorders>
            <w:noWrap/>
            <w:vAlign w:val="center"/>
          </w:tcPr>
          <w:p w14:paraId="4FA4AA3E">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2025.12.9-2028.7.31</w:t>
            </w:r>
          </w:p>
        </w:tc>
        <w:tc>
          <w:tcPr>
            <w:tcW w:w="884" w:type="dxa"/>
            <w:tcBorders>
              <w:top w:val="single" w:color="000000" w:sz="4" w:space="0"/>
              <w:left w:val="nil"/>
              <w:bottom w:val="single" w:color="000000" w:sz="4" w:space="0"/>
              <w:right w:val="single" w:color="000000" w:sz="4" w:space="0"/>
            </w:tcBorders>
            <w:noWrap/>
            <w:vAlign w:val="center"/>
          </w:tcPr>
          <w:p w14:paraId="36713376">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31个月23天</w:t>
            </w:r>
          </w:p>
        </w:tc>
      </w:tr>
      <w:tr w14:paraId="0A721C82">
        <w:tblPrEx>
          <w:tblCellMar>
            <w:top w:w="0" w:type="dxa"/>
            <w:left w:w="108" w:type="dxa"/>
            <w:bottom w:w="0" w:type="dxa"/>
            <w:right w:w="108" w:type="dxa"/>
          </w:tblCellMar>
        </w:tblPrEx>
        <w:trPr>
          <w:trHeight w:val="454" w:hRule="atLeast"/>
          <w:jc w:val="center"/>
        </w:trPr>
        <w:tc>
          <w:tcPr>
            <w:tcW w:w="389" w:type="dxa"/>
            <w:tcBorders>
              <w:top w:val="single" w:color="auto" w:sz="4" w:space="0"/>
              <w:left w:val="single" w:color="auto" w:sz="4" w:space="0"/>
              <w:bottom w:val="single" w:color="auto" w:sz="4" w:space="0"/>
              <w:right w:val="single" w:color="auto" w:sz="4" w:space="0"/>
            </w:tcBorders>
            <w:noWrap/>
            <w:vAlign w:val="center"/>
          </w:tcPr>
          <w:p w14:paraId="2E598689">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8</w:t>
            </w:r>
          </w:p>
        </w:tc>
        <w:tc>
          <w:tcPr>
            <w:tcW w:w="442" w:type="dxa"/>
            <w:vMerge w:val="continue"/>
            <w:tcBorders>
              <w:left w:val="single" w:color="auto" w:sz="4" w:space="0"/>
              <w:right w:val="single" w:color="000000" w:sz="4" w:space="0"/>
            </w:tcBorders>
            <w:noWrap/>
            <w:vAlign w:val="center"/>
          </w:tcPr>
          <w:p w14:paraId="4574728E">
            <w:pPr>
              <w:widowControl/>
              <w:jc w:val="center"/>
              <w:textAlignment w:val="center"/>
              <w:rPr>
                <w:rFonts w:ascii="仿宋" w:hAnsi="仿宋" w:eastAsia="仿宋" w:cs="仿宋"/>
                <w:kern w:val="0"/>
                <w:sz w:val="21"/>
                <w:szCs w:val="21"/>
                <w:lang w:bidi="ar"/>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E0121C2">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实训楼1#曳引驱动乘客电梯</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61DB1EC3">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广州广日电梯工业有限公司</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181F2799">
            <w:pPr>
              <w:widowControl/>
              <w:jc w:val="center"/>
              <w:textAlignment w:val="center"/>
              <w:rPr>
                <w:rFonts w:ascii="仿宋" w:hAnsi="仿宋" w:eastAsia="仿宋" w:cs="仿宋"/>
                <w:sz w:val="21"/>
                <w:szCs w:val="21"/>
              </w:rPr>
            </w:pPr>
            <w:r>
              <w:rPr>
                <w:rFonts w:hint="eastAsia" w:ascii="仿宋" w:hAnsi="仿宋" w:eastAsia="仿宋" w:cs="仿宋"/>
                <w:sz w:val="21"/>
                <w:szCs w:val="21"/>
              </w:rPr>
              <w:t>31104407002023050332</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57A50744">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1150</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1ABF2E2B">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1.75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4F191F1">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7层7站7门</w:t>
            </w:r>
          </w:p>
        </w:tc>
        <w:tc>
          <w:tcPr>
            <w:tcW w:w="990" w:type="dxa"/>
            <w:tcBorders>
              <w:top w:val="single" w:color="000000" w:sz="4" w:space="0"/>
              <w:left w:val="nil"/>
              <w:bottom w:val="single" w:color="000000" w:sz="4" w:space="0"/>
              <w:right w:val="single" w:color="000000" w:sz="4" w:space="0"/>
            </w:tcBorders>
            <w:noWrap/>
            <w:vAlign w:val="center"/>
          </w:tcPr>
          <w:p w14:paraId="2C9EE4EB">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2025.10.26-2028.7.31</w:t>
            </w:r>
          </w:p>
        </w:tc>
        <w:tc>
          <w:tcPr>
            <w:tcW w:w="884" w:type="dxa"/>
            <w:tcBorders>
              <w:top w:val="single" w:color="000000" w:sz="4" w:space="0"/>
              <w:left w:val="nil"/>
              <w:bottom w:val="single" w:color="000000" w:sz="4" w:space="0"/>
              <w:right w:val="single" w:color="000000" w:sz="4" w:space="0"/>
            </w:tcBorders>
            <w:noWrap/>
            <w:vAlign w:val="center"/>
          </w:tcPr>
          <w:p w14:paraId="090C9845">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33个月6天</w:t>
            </w:r>
          </w:p>
        </w:tc>
      </w:tr>
      <w:tr w14:paraId="7BF66674">
        <w:tblPrEx>
          <w:tblCellMar>
            <w:top w:w="0" w:type="dxa"/>
            <w:left w:w="108" w:type="dxa"/>
            <w:bottom w:w="0" w:type="dxa"/>
            <w:right w:w="108" w:type="dxa"/>
          </w:tblCellMar>
        </w:tblPrEx>
        <w:trPr>
          <w:trHeight w:val="454" w:hRule="atLeast"/>
          <w:jc w:val="center"/>
        </w:trPr>
        <w:tc>
          <w:tcPr>
            <w:tcW w:w="389" w:type="dxa"/>
            <w:tcBorders>
              <w:top w:val="single" w:color="auto" w:sz="4" w:space="0"/>
              <w:left w:val="single" w:color="auto" w:sz="4" w:space="0"/>
              <w:bottom w:val="single" w:color="auto" w:sz="4" w:space="0"/>
              <w:right w:val="single" w:color="auto" w:sz="4" w:space="0"/>
            </w:tcBorders>
            <w:noWrap/>
            <w:vAlign w:val="center"/>
          </w:tcPr>
          <w:p w14:paraId="0B1BD91C">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9</w:t>
            </w:r>
          </w:p>
        </w:tc>
        <w:tc>
          <w:tcPr>
            <w:tcW w:w="442" w:type="dxa"/>
            <w:vMerge w:val="continue"/>
            <w:tcBorders>
              <w:left w:val="single" w:color="auto" w:sz="4" w:space="0"/>
              <w:right w:val="single" w:color="000000" w:sz="4" w:space="0"/>
            </w:tcBorders>
            <w:noWrap/>
            <w:vAlign w:val="center"/>
          </w:tcPr>
          <w:p w14:paraId="52F3D2E0">
            <w:pPr>
              <w:widowControl/>
              <w:jc w:val="center"/>
              <w:textAlignment w:val="center"/>
              <w:rPr>
                <w:rFonts w:ascii="仿宋" w:hAnsi="仿宋" w:eastAsia="仿宋" w:cs="仿宋"/>
                <w:kern w:val="0"/>
                <w:sz w:val="21"/>
                <w:szCs w:val="21"/>
                <w:lang w:bidi="ar"/>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EF450F9">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食堂1#曳引驱动乘客电梯</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21C49D1B">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广州广日电梯工业有限公司</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68DFF3B3">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31104407002023050336</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DAC1DFB">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1150</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4E6A4BCC">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1.75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A3CDDDE">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3层3站4门</w:t>
            </w:r>
          </w:p>
        </w:tc>
        <w:tc>
          <w:tcPr>
            <w:tcW w:w="990" w:type="dxa"/>
            <w:tcBorders>
              <w:top w:val="single" w:color="000000" w:sz="4" w:space="0"/>
              <w:left w:val="nil"/>
              <w:bottom w:val="single" w:color="000000" w:sz="4" w:space="0"/>
              <w:right w:val="single" w:color="000000" w:sz="4" w:space="0"/>
            </w:tcBorders>
            <w:noWrap/>
            <w:vAlign w:val="center"/>
          </w:tcPr>
          <w:p w14:paraId="19C12592">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2025.10.24-2028.7.31</w:t>
            </w:r>
          </w:p>
        </w:tc>
        <w:tc>
          <w:tcPr>
            <w:tcW w:w="884" w:type="dxa"/>
            <w:tcBorders>
              <w:top w:val="single" w:color="000000" w:sz="4" w:space="0"/>
              <w:left w:val="nil"/>
              <w:bottom w:val="single" w:color="000000" w:sz="4" w:space="0"/>
              <w:right w:val="single" w:color="000000" w:sz="4" w:space="0"/>
            </w:tcBorders>
            <w:noWrap/>
            <w:vAlign w:val="center"/>
          </w:tcPr>
          <w:p w14:paraId="4B48BEF1">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33个月8天</w:t>
            </w:r>
          </w:p>
        </w:tc>
      </w:tr>
      <w:tr w14:paraId="70B77AAF">
        <w:tblPrEx>
          <w:tblCellMar>
            <w:top w:w="0" w:type="dxa"/>
            <w:left w:w="108" w:type="dxa"/>
            <w:bottom w:w="0" w:type="dxa"/>
            <w:right w:w="108" w:type="dxa"/>
          </w:tblCellMar>
        </w:tblPrEx>
        <w:trPr>
          <w:trHeight w:val="454" w:hRule="atLeast"/>
          <w:jc w:val="center"/>
        </w:trPr>
        <w:tc>
          <w:tcPr>
            <w:tcW w:w="389" w:type="dxa"/>
            <w:tcBorders>
              <w:top w:val="single" w:color="auto" w:sz="4" w:space="0"/>
              <w:left w:val="single" w:color="auto" w:sz="4" w:space="0"/>
              <w:bottom w:val="single" w:color="auto" w:sz="4" w:space="0"/>
              <w:right w:val="single" w:color="auto" w:sz="4" w:space="0"/>
            </w:tcBorders>
            <w:noWrap/>
            <w:vAlign w:val="center"/>
          </w:tcPr>
          <w:p w14:paraId="73BA1240">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10</w:t>
            </w:r>
          </w:p>
        </w:tc>
        <w:tc>
          <w:tcPr>
            <w:tcW w:w="442" w:type="dxa"/>
            <w:vMerge w:val="continue"/>
            <w:tcBorders>
              <w:left w:val="single" w:color="auto" w:sz="4" w:space="0"/>
              <w:right w:val="single" w:color="000000" w:sz="4" w:space="0"/>
            </w:tcBorders>
            <w:noWrap/>
            <w:vAlign w:val="center"/>
          </w:tcPr>
          <w:p w14:paraId="17BFF0F4">
            <w:pPr>
              <w:widowControl/>
              <w:jc w:val="center"/>
              <w:textAlignment w:val="center"/>
              <w:rPr>
                <w:rFonts w:ascii="仿宋" w:hAnsi="仿宋" w:eastAsia="仿宋" w:cs="仿宋"/>
                <w:kern w:val="0"/>
                <w:sz w:val="21"/>
                <w:szCs w:val="21"/>
                <w:lang w:bidi="ar"/>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A5F52D5">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11号宿舍楼曳引驱动乘客电梯</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094FC754">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广州广日电梯工业有限公司</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72B9F5E2">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31104407002023050330</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8B64930">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1150</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59D9B5D2">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1.75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49D1645">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12层12站12门</w:t>
            </w:r>
          </w:p>
        </w:tc>
        <w:tc>
          <w:tcPr>
            <w:tcW w:w="990" w:type="dxa"/>
            <w:tcBorders>
              <w:top w:val="single" w:color="000000" w:sz="4" w:space="0"/>
              <w:left w:val="nil"/>
              <w:bottom w:val="single" w:color="000000" w:sz="4" w:space="0"/>
              <w:right w:val="single" w:color="000000" w:sz="4" w:space="0"/>
            </w:tcBorders>
            <w:noWrap/>
            <w:vAlign w:val="center"/>
          </w:tcPr>
          <w:p w14:paraId="2ACF179C">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2025.10.21-2028.7.31</w:t>
            </w:r>
          </w:p>
        </w:tc>
        <w:tc>
          <w:tcPr>
            <w:tcW w:w="884" w:type="dxa"/>
            <w:tcBorders>
              <w:top w:val="single" w:color="000000" w:sz="4" w:space="0"/>
              <w:left w:val="nil"/>
              <w:bottom w:val="single" w:color="000000" w:sz="4" w:space="0"/>
              <w:right w:val="single" w:color="000000" w:sz="4" w:space="0"/>
            </w:tcBorders>
            <w:noWrap/>
            <w:vAlign w:val="center"/>
          </w:tcPr>
          <w:p w14:paraId="6F7FAA38">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33个月11天</w:t>
            </w:r>
          </w:p>
        </w:tc>
      </w:tr>
      <w:tr w14:paraId="42FE780C">
        <w:tblPrEx>
          <w:tblCellMar>
            <w:top w:w="0" w:type="dxa"/>
            <w:left w:w="108" w:type="dxa"/>
            <w:bottom w:w="0" w:type="dxa"/>
            <w:right w:w="108" w:type="dxa"/>
          </w:tblCellMar>
        </w:tblPrEx>
        <w:trPr>
          <w:trHeight w:val="454" w:hRule="atLeast"/>
          <w:jc w:val="center"/>
        </w:trPr>
        <w:tc>
          <w:tcPr>
            <w:tcW w:w="389" w:type="dxa"/>
            <w:tcBorders>
              <w:top w:val="single" w:color="auto" w:sz="4" w:space="0"/>
              <w:left w:val="single" w:color="auto" w:sz="4" w:space="0"/>
              <w:bottom w:val="single" w:color="auto" w:sz="4" w:space="0"/>
              <w:right w:val="single" w:color="auto" w:sz="4" w:space="0"/>
            </w:tcBorders>
            <w:noWrap/>
            <w:vAlign w:val="center"/>
          </w:tcPr>
          <w:p w14:paraId="4C39DF78">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11</w:t>
            </w:r>
          </w:p>
        </w:tc>
        <w:tc>
          <w:tcPr>
            <w:tcW w:w="442" w:type="dxa"/>
            <w:vMerge w:val="continue"/>
            <w:tcBorders>
              <w:left w:val="single" w:color="auto" w:sz="4" w:space="0"/>
              <w:right w:val="single" w:color="000000" w:sz="4" w:space="0"/>
            </w:tcBorders>
            <w:noWrap/>
            <w:vAlign w:val="center"/>
          </w:tcPr>
          <w:p w14:paraId="2CA8B40C">
            <w:pPr>
              <w:widowControl/>
              <w:jc w:val="center"/>
              <w:textAlignment w:val="center"/>
              <w:rPr>
                <w:rFonts w:ascii="仿宋" w:hAnsi="仿宋" w:eastAsia="仿宋" w:cs="仿宋"/>
                <w:kern w:val="0"/>
                <w:sz w:val="21"/>
                <w:szCs w:val="21"/>
                <w:lang w:bidi="ar"/>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83E8654">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11号宿舍楼曳引驱动乘客电梯</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58F85B5C">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广州广日电梯工业有限公司</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41FEEE8F">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31104407002023050335</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9BA7F58">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1150</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4EB36146">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1.75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DC8F1EB">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12层12站12门</w:t>
            </w:r>
          </w:p>
        </w:tc>
        <w:tc>
          <w:tcPr>
            <w:tcW w:w="990" w:type="dxa"/>
            <w:tcBorders>
              <w:top w:val="single" w:color="000000" w:sz="4" w:space="0"/>
              <w:left w:val="nil"/>
              <w:bottom w:val="single" w:color="000000" w:sz="4" w:space="0"/>
              <w:right w:val="single" w:color="000000" w:sz="4" w:space="0"/>
            </w:tcBorders>
            <w:noWrap/>
            <w:vAlign w:val="center"/>
          </w:tcPr>
          <w:p w14:paraId="26A81D48">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2025.10.21-2028.7.31</w:t>
            </w:r>
          </w:p>
        </w:tc>
        <w:tc>
          <w:tcPr>
            <w:tcW w:w="884" w:type="dxa"/>
            <w:tcBorders>
              <w:top w:val="single" w:color="000000" w:sz="4" w:space="0"/>
              <w:left w:val="nil"/>
              <w:bottom w:val="single" w:color="000000" w:sz="4" w:space="0"/>
              <w:right w:val="single" w:color="000000" w:sz="4" w:space="0"/>
            </w:tcBorders>
            <w:noWrap/>
            <w:vAlign w:val="center"/>
          </w:tcPr>
          <w:p w14:paraId="7E451BF0">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33个月11天</w:t>
            </w:r>
          </w:p>
        </w:tc>
      </w:tr>
      <w:tr w14:paraId="7A50A743">
        <w:tblPrEx>
          <w:tblCellMar>
            <w:top w:w="0" w:type="dxa"/>
            <w:left w:w="108" w:type="dxa"/>
            <w:bottom w:w="0" w:type="dxa"/>
            <w:right w:w="108" w:type="dxa"/>
          </w:tblCellMar>
        </w:tblPrEx>
        <w:trPr>
          <w:trHeight w:val="454" w:hRule="atLeast"/>
          <w:jc w:val="center"/>
        </w:trPr>
        <w:tc>
          <w:tcPr>
            <w:tcW w:w="389" w:type="dxa"/>
            <w:tcBorders>
              <w:top w:val="single" w:color="auto" w:sz="4" w:space="0"/>
              <w:left w:val="single" w:color="auto" w:sz="4" w:space="0"/>
              <w:bottom w:val="single" w:color="auto" w:sz="4" w:space="0"/>
              <w:right w:val="single" w:color="auto" w:sz="4" w:space="0"/>
            </w:tcBorders>
            <w:noWrap/>
            <w:vAlign w:val="center"/>
          </w:tcPr>
          <w:p w14:paraId="1E3F6A51">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12</w:t>
            </w:r>
          </w:p>
        </w:tc>
        <w:tc>
          <w:tcPr>
            <w:tcW w:w="442" w:type="dxa"/>
            <w:vMerge w:val="continue"/>
            <w:tcBorders>
              <w:left w:val="single" w:color="auto" w:sz="4" w:space="0"/>
              <w:right w:val="single" w:color="000000" w:sz="4" w:space="0"/>
            </w:tcBorders>
            <w:noWrap/>
            <w:vAlign w:val="center"/>
          </w:tcPr>
          <w:p w14:paraId="643FB919">
            <w:pPr>
              <w:widowControl/>
              <w:jc w:val="center"/>
              <w:textAlignment w:val="center"/>
              <w:rPr>
                <w:rFonts w:ascii="仿宋" w:hAnsi="仿宋" w:eastAsia="仿宋" w:cs="仿宋"/>
                <w:kern w:val="0"/>
                <w:sz w:val="21"/>
                <w:szCs w:val="21"/>
                <w:lang w:bidi="ar"/>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4C0D4E8">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11号宿舍楼曳引驱动乘客电梯</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4727CDEA">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广州广日电梯工业有限公司</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49F00A7B">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31104407002023050329</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7314911E">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1150</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5639F2CB">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1.75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C7B8FF6">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12层12站12门</w:t>
            </w:r>
          </w:p>
        </w:tc>
        <w:tc>
          <w:tcPr>
            <w:tcW w:w="990" w:type="dxa"/>
            <w:tcBorders>
              <w:top w:val="single" w:color="000000" w:sz="4" w:space="0"/>
              <w:left w:val="nil"/>
              <w:bottom w:val="single" w:color="000000" w:sz="4" w:space="0"/>
              <w:right w:val="single" w:color="000000" w:sz="4" w:space="0"/>
            </w:tcBorders>
            <w:noWrap/>
            <w:vAlign w:val="center"/>
          </w:tcPr>
          <w:p w14:paraId="1C82C66F">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2025.10.24-2028.7.31</w:t>
            </w:r>
          </w:p>
        </w:tc>
        <w:tc>
          <w:tcPr>
            <w:tcW w:w="884" w:type="dxa"/>
            <w:tcBorders>
              <w:top w:val="single" w:color="000000" w:sz="4" w:space="0"/>
              <w:left w:val="nil"/>
              <w:bottom w:val="single" w:color="000000" w:sz="4" w:space="0"/>
              <w:right w:val="single" w:color="000000" w:sz="4" w:space="0"/>
            </w:tcBorders>
            <w:noWrap/>
            <w:vAlign w:val="center"/>
          </w:tcPr>
          <w:p w14:paraId="68B22076">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33个月8天</w:t>
            </w:r>
          </w:p>
        </w:tc>
      </w:tr>
      <w:tr w14:paraId="2B516B7C">
        <w:tblPrEx>
          <w:tblCellMar>
            <w:top w:w="0" w:type="dxa"/>
            <w:left w:w="108" w:type="dxa"/>
            <w:bottom w:w="0" w:type="dxa"/>
            <w:right w:w="108" w:type="dxa"/>
          </w:tblCellMar>
        </w:tblPrEx>
        <w:trPr>
          <w:trHeight w:val="454" w:hRule="atLeast"/>
          <w:jc w:val="center"/>
        </w:trPr>
        <w:tc>
          <w:tcPr>
            <w:tcW w:w="389" w:type="dxa"/>
            <w:tcBorders>
              <w:top w:val="single" w:color="auto" w:sz="4" w:space="0"/>
              <w:left w:val="single" w:color="auto" w:sz="4" w:space="0"/>
              <w:bottom w:val="single" w:color="auto" w:sz="4" w:space="0"/>
              <w:right w:val="single" w:color="auto" w:sz="4" w:space="0"/>
            </w:tcBorders>
            <w:noWrap/>
            <w:vAlign w:val="center"/>
          </w:tcPr>
          <w:p w14:paraId="0621B0FD">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13</w:t>
            </w:r>
          </w:p>
        </w:tc>
        <w:tc>
          <w:tcPr>
            <w:tcW w:w="442" w:type="dxa"/>
            <w:vMerge w:val="continue"/>
            <w:tcBorders>
              <w:left w:val="single" w:color="auto" w:sz="4" w:space="0"/>
              <w:right w:val="single" w:color="000000" w:sz="4" w:space="0"/>
            </w:tcBorders>
            <w:noWrap/>
            <w:vAlign w:val="center"/>
          </w:tcPr>
          <w:p w14:paraId="70C07221">
            <w:pPr>
              <w:widowControl/>
              <w:jc w:val="center"/>
              <w:textAlignment w:val="center"/>
              <w:rPr>
                <w:rFonts w:ascii="仿宋" w:hAnsi="仿宋" w:eastAsia="仿宋" w:cs="仿宋"/>
                <w:kern w:val="0"/>
                <w:sz w:val="21"/>
                <w:szCs w:val="21"/>
                <w:lang w:bidi="ar"/>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E593BCB">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11号宿舍楼曳引驱动乘客电梯</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0B82802C">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广州广日电梯工业有限公司</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4DA52C04">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31104407002023050333</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6E2876B">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1150</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8FA3407">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1.75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8A8D6CA">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12层12站12门</w:t>
            </w:r>
          </w:p>
        </w:tc>
        <w:tc>
          <w:tcPr>
            <w:tcW w:w="990" w:type="dxa"/>
            <w:tcBorders>
              <w:top w:val="single" w:color="000000" w:sz="4" w:space="0"/>
              <w:left w:val="nil"/>
              <w:bottom w:val="single" w:color="000000" w:sz="4" w:space="0"/>
              <w:right w:val="single" w:color="000000" w:sz="4" w:space="0"/>
            </w:tcBorders>
            <w:noWrap/>
            <w:vAlign w:val="center"/>
          </w:tcPr>
          <w:p w14:paraId="5361A3CE">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2025.10.24-2028.7.31</w:t>
            </w:r>
          </w:p>
        </w:tc>
        <w:tc>
          <w:tcPr>
            <w:tcW w:w="884" w:type="dxa"/>
            <w:tcBorders>
              <w:top w:val="single" w:color="000000" w:sz="4" w:space="0"/>
              <w:left w:val="nil"/>
              <w:bottom w:val="single" w:color="000000" w:sz="4" w:space="0"/>
              <w:right w:val="single" w:color="000000" w:sz="4" w:space="0"/>
            </w:tcBorders>
            <w:noWrap/>
            <w:vAlign w:val="center"/>
          </w:tcPr>
          <w:p w14:paraId="701B2F33">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33个月8天</w:t>
            </w:r>
          </w:p>
        </w:tc>
      </w:tr>
      <w:tr w14:paraId="243318DF">
        <w:tblPrEx>
          <w:tblCellMar>
            <w:top w:w="0" w:type="dxa"/>
            <w:left w:w="108" w:type="dxa"/>
            <w:bottom w:w="0" w:type="dxa"/>
            <w:right w:w="108" w:type="dxa"/>
          </w:tblCellMar>
        </w:tblPrEx>
        <w:trPr>
          <w:trHeight w:val="454" w:hRule="atLeast"/>
          <w:jc w:val="center"/>
        </w:trPr>
        <w:tc>
          <w:tcPr>
            <w:tcW w:w="389" w:type="dxa"/>
            <w:tcBorders>
              <w:top w:val="single" w:color="auto" w:sz="4" w:space="0"/>
              <w:left w:val="single" w:color="auto" w:sz="4" w:space="0"/>
              <w:bottom w:val="single" w:color="auto" w:sz="4" w:space="0"/>
              <w:right w:val="single" w:color="auto" w:sz="4" w:space="0"/>
            </w:tcBorders>
            <w:noWrap/>
            <w:vAlign w:val="center"/>
          </w:tcPr>
          <w:p w14:paraId="0BA060EF">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14</w:t>
            </w:r>
          </w:p>
        </w:tc>
        <w:tc>
          <w:tcPr>
            <w:tcW w:w="442" w:type="dxa"/>
            <w:vMerge w:val="continue"/>
            <w:tcBorders>
              <w:left w:val="single" w:color="auto" w:sz="4" w:space="0"/>
              <w:right w:val="single" w:color="000000" w:sz="4" w:space="0"/>
            </w:tcBorders>
            <w:noWrap/>
            <w:vAlign w:val="center"/>
          </w:tcPr>
          <w:p w14:paraId="6E7D060F">
            <w:pPr>
              <w:widowControl/>
              <w:jc w:val="center"/>
              <w:textAlignment w:val="center"/>
              <w:rPr>
                <w:rFonts w:ascii="仿宋" w:hAnsi="仿宋" w:eastAsia="仿宋" w:cs="仿宋"/>
                <w:kern w:val="0"/>
                <w:sz w:val="21"/>
                <w:szCs w:val="21"/>
                <w:lang w:bidi="ar"/>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FAC0FAA">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实训楼1#曳引驱动载货电梯</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28D1A744">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广州广日电梯工业有限公司</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0CF5F35E">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31204407002023050363</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129AF71E">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3000</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7C56E377">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0.5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AD0EE2A">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6层6站6门</w:t>
            </w:r>
          </w:p>
        </w:tc>
        <w:tc>
          <w:tcPr>
            <w:tcW w:w="990" w:type="dxa"/>
            <w:tcBorders>
              <w:top w:val="single" w:color="000000" w:sz="4" w:space="0"/>
              <w:left w:val="nil"/>
              <w:bottom w:val="single" w:color="000000" w:sz="4" w:space="0"/>
              <w:right w:val="single" w:color="000000" w:sz="4" w:space="0"/>
            </w:tcBorders>
            <w:noWrap/>
            <w:vAlign w:val="center"/>
          </w:tcPr>
          <w:p w14:paraId="331B5BF6">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2025.10.21-2028.7.31</w:t>
            </w:r>
          </w:p>
        </w:tc>
        <w:tc>
          <w:tcPr>
            <w:tcW w:w="884" w:type="dxa"/>
            <w:tcBorders>
              <w:top w:val="single" w:color="000000" w:sz="4" w:space="0"/>
              <w:left w:val="nil"/>
              <w:bottom w:val="single" w:color="000000" w:sz="4" w:space="0"/>
              <w:right w:val="single" w:color="000000" w:sz="4" w:space="0"/>
            </w:tcBorders>
            <w:noWrap/>
            <w:vAlign w:val="center"/>
          </w:tcPr>
          <w:p w14:paraId="1FB60F07">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33个月11天</w:t>
            </w:r>
          </w:p>
        </w:tc>
      </w:tr>
      <w:tr w14:paraId="2C2B4B34">
        <w:tblPrEx>
          <w:tblCellMar>
            <w:top w:w="0" w:type="dxa"/>
            <w:left w:w="108" w:type="dxa"/>
            <w:bottom w:w="0" w:type="dxa"/>
            <w:right w:w="108" w:type="dxa"/>
          </w:tblCellMar>
        </w:tblPrEx>
        <w:trPr>
          <w:trHeight w:val="454" w:hRule="atLeast"/>
          <w:jc w:val="center"/>
        </w:trPr>
        <w:tc>
          <w:tcPr>
            <w:tcW w:w="389" w:type="dxa"/>
            <w:tcBorders>
              <w:top w:val="single" w:color="auto" w:sz="4" w:space="0"/>
              <w:left w:val="single" w:color="auto" w:sz="4" w:space="0"/>
              <w:bottom w:val="single" w:color="auto" w:sz="4" w:space="0"/>
              <w:right w:val="single" w:color="auto" w:sz="4" w:space="0"/>
            </w:tcBorders>
            <w:noWrap/>
            <w:vAlign w:val="center"/>
          </w:tcPr>
          <w:p w14:paraId="1BB795A7">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15</w:t>
            </w:r>
          </w:p>
        </w:tc>
        <w:tc>
          <w:tcPr>
            <w:tcW w:w="442" w:type="dxa"/>
            <w:vMerge w:val="continue"/>
            <w:tcBorders>
              <w:left w:val="single" w:color="auto" w:sz="4" w:space="0"/>
              <w:right w:val="single" w:color="000000" w:sz="4" w:space="0"/>
            </w:tcBorders>
            <w:noWrap/>
            <w:vAlign w:val="center"/>
          </w:tcPr>
          <w:p w14:paraId="1509CF48">
            <w:pPr>
              <w:widowControl/>
              <w:jc w:val="center"/>
              <w:textAlignment w:val="center"/>
              <w:rPr>
                <w:rFonts w:ascii="仿宋" w:hAnsi="仿宋" w:eastAsia="仿宋" w:cs="仿宋"/>
                <w:kern w:val="0"/>
                <w:sz w:val="21"/>
                <w:szCs w:val="21"/>
                <w:lang w:bidi="ar"/>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942A4DD">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图书馆1#曳引驱动载货电梯</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1670D197">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广州广日电梯工业有限公司</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0A0B520B">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31204407002023070058</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1B13822F">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1600</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5AE9A2EA">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0.5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9DF76E5">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3层3站3门</w:t>
            </w:r>
          </w:p>
        </w:tc>
        <w:tc>
          <w:tcPr>
            <w:tcW w:w="990" w:type="dxa"/>
            <w:tcBorders>
              <w:top w:val="single" w:color="000000" w:sz="4" w:space="0"/>
              <w:left w:val="nil"/>
              <w:bottom w:val="single" w:color="000000" w:sz="4" w:space="0"/>
              <w:right w:val="single" w:color="000000" w:sz="4" w:space="0"/>
            </w:tcBorders>
            <w:noWrap/>
            <w:vAlign w:val="center"/>
          </w:tcPr>
          <w:p w14:paraId="5C369B98">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2025.12.9-2028.7.31</w:t>
            </w:r>
          </w:p>
        </w:tc>
        <w:tc>
          <w:tcPr>
            <w:tcW w:w="884" w:type="dxa"/>
            <w:tcBorders>
              <w:top w:val="single" w:color="000000" w:sz="4" w:space="0"/>
              <w:left w:val="nil"/>
              <w:bottom w:val="single" w:color="000000" w:sz="4" w:space="0"/>
              <w:right w:val="single" w:color="000000" w:sz="4" w:space="0"/>
            </w:tcBorders>
            <w:noWrap/>
            <w:vAlign w:val="center"/>
          </w:tcPr>
          <w:p w14:paraId="3707F8EF">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31个月23天</w:t>
            </w:r>
          </w:p>
        </w:tc>
      </w:tr>
      <w:tr w14:paraId="3303E70F">
        <w:tblPrEx>
          <w:tblCellMar>
            <w:top w:w="0" w:type="dxa"/>
            <w:left w:w="108" w:type="dxa"/>
            <w:bottom w:w="0" w:type="dxa"/>
            <w:right w:w="108" w:type="dxa"/>
          </w:tblCellMar>
        </w:tblPrEx>
        <w:trPr>
          <w:trHeight w:val="454" w:hRule="atLeast"/>
          <w:jc w:val="center"/>
        </w:trPr>
        <w:tc>
          <w:tcPr>
            <w:tcW w:w="389" w:type="dxa"/>
            <w:tcBorders>
              <w:top w:val="single" w:color="auto" w:sz="4" w:space="0"/>
              <w:left w:val="single" w:color="auto" w:sz="4" w:space="0"/>
              <w:bottom w:val="single" w:color="auto" w:sz="4" w:space="0"/>
              <w:right w:val="single" w:color="auto" w:sz="4" w:space="0"/>
            </w:tcBorders>
            <w:noWrap/>
            <w:vAlign w:val="center"/>
          </w:tcPr>
          <w:p w14:paraId="74B2D4C3">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16</w:t>
            </w:r>
          </w:p>
        </w:tc>
        <w:tc>
          <w:tcPr>
            <w:tcW w:w="442" w:type="dxa"/>
            <w:vMerge w:val="continue"/>
            <w:tcBorders>
              <w:left w:val="single" w:color="auto" w:sz="4" w:space="0"/>
              <w:bottom w:val="single" w:color="000000" w:sz="4" w:space="0"/>
              <w:right w:val="single" w:color="000000" w:sz="4" w:space="0"/>
            </w:tcBorders>
            <w:noWrap/>
            <w:vAlign w:val="center"/>
          </w:tcPr>
          <w:p w14:paraId="5DC331C7">
            <w:pPr>
              <w:widowControl/>
              <w:jc w:val="center"/>
              <w:textAlignment w:val="center"/>
              <w:rPr>
                <w:rFonts w:ascii="仿宋" w:hAnsi="仿宋" w:eastAsia="仿宋" w:cs="仿宋"/>
                <w:kern w:val="0"/>
                <w:sz w:val="21"/>
                <w:szCs w:val="21"/>
                <w:lang w:bidi="ar"/>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2D4A481">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食堂2#曳引驱动载货电梯</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452CF336">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广州广日电梯工业有限公司</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55EC21B4">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31204407002023050337</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BA1F0E1">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1600</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115C78CD">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0.5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F59F687">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3层3站3门</w:t>
            </w:r>
          </w:p>
        </w:tc>
        <w:tc>
          <w:tcPr>
            <w:tcW w:w="990" w:type="dxa"/>
            <w:tcBorders>
              <w:top w:val="single" w:color="000000" w:sz="4" w:space="0"/>
              <w:left w:val="nil"/>
              <w:bottom w:val="single" w:color="000000" w:sz="4" w:space="0"/>
              <w:right w:val="single" w:color="000000" w:sz="4" w:space="0"/>
            </w:tcBorders>
            <w:noWrap/>
            <w:vAlign w:val="center"/>
          </w:tcPr>
          <w:p w14:paraId="27866830">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2025.10.24-2028.7.31</w:t>
            </w:r>
          </w:p>
        </w:tc>
        <w:tc>
          <w:tcPr>
            <w:tcW w:w="884" w:type="dxa"/>
            <w:tcBorders>
              <w:top w:val="single" w:color="000000" w:sz="4" w:space="0"/>
              <w:left w:val="nil"/>
              <w:bottom w:val="single" w:color="000000" w:sz="4" w:space="0"/>
              <w:right w:val="single" w:color="000000" w:sz="4" w:space="0"/>
            </w:tcBorders>
            <w:noWrap/>
            <w:vAlign w:val="center"/>
          </w:tcPr>
          <w:p w14:paraId="6B4BAF79">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33个月8天</w:t>
            </w:r>
          </w:p>
        </w:tc>
      </w:tr>
    </w:tbl>
    <w:p w14:paraId="1BD7A7CD">
      <w:pPr>
        <w:pStyle w:val="41"/>
        <w:ind w:firstLine="480"/>
        <w:jc w:val="both"/>
        <w:rPr>
          <w:rFonts w:hint="default" w:ascii="仿宋" w:hAnsi="仿宋" w:eastAsia="仿宋" w:cs="仿宋"/>
          <w:sz w:val="30"/>
          <w:szCs w:val="30"/>
        </w:rPr>
      </w:pPr>
      <w:r>
        <w:rPr>
          <w:rFonts w:ascii="仿宋" w:hAnsi="仿宋" w:eastAsia="仿宋" w:cs="仿宋"/>
          <w:sz w:val="30"/>
          <w:szCs w:val="30"/>
        </w:rPr>
        <w:t>四、服务要求：</w:t>
      </w:r>
    </w:p>
    <w:p w14:paraId="79F4E188">
      <w:pPr>
        <w:spacing w:line="560" w:lineRule="exact"/>
        <w:ind w:firstLine="600" w:firstLineChars="200"/>
        <w:rPr>
          <w:rFonts w:ascii="仿宋" w:hAnsi="仿宋" w:eastAsia="仿宋" w:cs="仿宋"/>
          <w:szCs w:val="30"/>
        </w:rPr>
      </w:pPr>
      <w:r>
        <w:rPr>
          <w:rFonts w:hint="eastAsia" w:ascii="仿宋" w:hAnsi="仿宋" w:eastAsia="仿宋" w:cs="仿宋"/>
          <w:szCs w:val="30"/>
        </w:rPr>
        <w:t>（一）总体服务要求：</w:t>
      </w:r>
    </w:p>
    <w:p w14:paraId="4BACB6D5">
      <w:pPr>
        <w:spacing w:line="560" w:lineRule="exact"/>
        <w:ind w:firstLine="600" w:firstLineChars="200"/>
        <w:rPr>
          <w:rFonts w:ascii="仿宋" w:hAnsi="仿宋" w:eastAsia="仿宋" w:cs="仿宋"/>
          <w:szCs w:val="30"/>
        </w:rPr>
      </w:pPr>
      <w:r>
        <w:rPr>
          <w:rFonts w:hint="eastAsia" w:ascii="仿宋" w:hAnsi="仿宋" w:eastAsia="仿宋" w:cs="仿宋"/>
          <w:szCs w:val="30"/>
        </w:rPr>
        <w:t>1.中标供应商对其维护保养的电梯安全性能负责，按照《特种设备法》、《广东省电梯使用安全条例》、维护保养合同、以及相关的法律法规、安全技术规范和标准的规定对电梯进行维护保养，确保维护保养质量，依据法律法规和采购人委托事项履行安全管理义务，并承担相应的责任。</w:t>
      </w:r>
    </w:p>
    <w:p w14:paraId="3D8C67EA">
      <w:pPr>
        <w:spacing w:line="560" w:lineRule="exact"/>
        <w:ind w:firstLine="600" w:firstLineChars="200"/>
        <w:rPr>
          <w:rFonts w:ascii="仿宋" w:hAnsi="仿宋" w:eastAsia="仿宋" w:cs="仿宋"/>
          <w:szCs w:val="30"/>
        </w:rPr>
      </w:pPr>
      <w:r>
        <w:rPr>
          <w:rFonts w:hint="eastAsia" w:ascii="仿宋" w:hAnsi="仿宋" w:eastAsia="仿宋" w:cs="仿宋"/>
          <w:szCs w:val="30"/>
        </w:rPr>
        <w:t>2.项目保养内容、主要技术规范及服务要求按照国家行业等执行相关的要求，对每台电梯进行维护保养，并且按照《乘客电梯、载货电梯日常维护保养记录》要求填写记录，建立电梯档案。</w:t>
      </w:r>
    </w:p>
    <w:p w14:paraId="535C3D51">
      <w:pPr>
        <w:spacing w:line="560" w:lineRule="exact"/>
        <w:ind w:firstLine="600" w:firstLineChars="200"/>
        <w:rPr>
          <w:rFonts w:ascii="仿宋" w:hAnsi="仿宋" w:eastAsia="仿宋" w:cs="仿宋"/>
          <w:szCs w:val="30"/>
        </w:rPr>
      </w:pPr>
      <w:r>
        <w:rPr>
          <w:rFonts w:hint="eastAsia" w:ascii="仿宋" w:hAnsi="仿宋" w:eastAsia="仿宋" w:cs="仿宋"/>
          <w:szCs w:val="30"/>
        </w:rPr>
        <w:t>3.投标供应商拟投入本项目项目负责人（1人）需具有电气或机械初级或以上工程师职称。拟投入电梯相关人员（10人或以上），工种为电梯安装维修工。（提供承诺函和工作证明）</w:t>
      </w:r>
    </w:p>
    <w:p w14:paraId="09D3DE42">
      <w:pPr>
        <w:spacing w:line="560" w:lineRule="exact"/>
        <w:ind w:firstLine="600" w:firstLineChars="200"/>
        <w:rPr>
          <w:rFonts w:ascii="仿宋" w:hAnsi="仿宋" w:eastAsia="仿宋" w:cs="仿宋"/>
          <w:szCs w:val="30"/>
        </w:rPr>
      </w:pPr>
      <w:r>
        <w:rPr>
          <w:rFonts w:hint="eastAsia" w:ascii="仿宋" w:hAnsi="仿宋" w:eastAsia="仿宋" w:cs="仿宋"/>
          <w:szCs w:val="30"/>
        </w:rPr>
        <w:t>4.所派的技术人员须持有有效的特种作业操作证和作业人员证T类(电梯作业类)。(投标时提供承诺函，承诺相关人员的证书在项目实施时满足上述条件)</w:t>
      </w:r>
    </w:p>
    <w:p w14:paraId="78FE290F">
      <w:pPr>
        <w:spacing w:line="560" w:lineRule="exact"/>
        <w:ind w:firstLine="600" w:firstLineChars="200"/>
        <w:rPr>
          <w:rFonts w:ascii="仿宋" w:hAnsi="仿宋" w:eastAsia="仿宋" w:cs="仿宋"/>
          <w:szCs w:val="30"/>
        </w:rPr>
      </w:pPr>
      <w:r>
        <w:rPr>
          <w:rFonts w:hint="eastAsia" w:ascii="仿宋" w:hAnsi="仿宋" w:eastAsia="仿宋" w:cs="仿宋"/>
          <w:szCs w:val="30"/>
        </w:rPr>
        <w:t>5.投标供应商需设有24小时应急响应电话，服务期内提供全年24小时召修和应急服务，发生电梯困人或紧急故障召修时，要求30分钟内维保人员到达现场处理，确保电梯的应急服务及安全，对一般故障（如按钮失灵、异响）可按常规区域时限响应，在紧急情况发生时，须在规定响应时间内提供有效解决方案。</w:t>
      </w:r>
    </w:p>
    <w:p w14:paraId="4FB66775">
      <w:pPr>
        <w:spacing w:line="560" w:lineRule="exact"/>
        <w:ind w:firstLine="600" w:firstLineChars="200"/>
        <w:rPr>
          <w:rFonts w:ascii="仿宋" w:hAnsi="仿宋" w:eastAsia="仿宋" w:cs="仿宋"/>
          <w:szCs w:val="30"/>
        </w:rPr>
      </w:pPr>
      <w:r>
        <w:rPr>
          <w:rFonts w:hint="eastAsia" w:ascii="仿宋" w:hAnsi="仿宋" w:eastAsia="仿宋" w:cs="仿宋"/>
          <w:szCs w:val="30"/>
        </w:rPr>
        <w:t>6.中标供应商维修保养过程中检查发现零配件损坏，24小时内向采购方提供零配件损坏检测报告和更换零配件报价单，经采购方同意确认后方可进行更换，费用由采购方支付。供应商维保期间操作失误导致电梯零配件损坏，由供应商承担维修和更换损坏的零部件费用。采购方有权委托第三方进行检测和维修。</w:t>
      </w:r>
    </w:p>
    <w:p w14:paraId="3B648882">
      <w:pPr>
        <w:spacing w:line="560" w:lineRule="exact"/>
        <w:ind w:firstLine="600" w:firstLineChars="200"/>
        <w:rPr>
          <w:rFonts w:ascii="仿宋" w:hAnsi="仿宋" w:eastAsia="仿宋" w:cs="仿宋"/>
          <w:szCs w:val="30"/>
        </w:rPr>
      </w:pPr>
      <w:r>
        <w:rPr>
          <w:rFonts w:hint="eastAsia" w:ascii="仿宋" w:hAnsi="仿宋" w:eastAsia="仿宋" w:cs="仿宋"/>
          <w:szCs w:val="30"/>
        </w:rPr>
        <w:t>（二）具体服务要求：</w:t>
      </w:r>
    </w:p>
    <w:p w14:paraId="40FAD0C0">
      <w:pPr>
        <w:spacing w:line="560" w:lineRule="exact"/>
        <w:ind w:firstLine="600" w:firstLineChars="200"/>
        <w:rPr>
          <w:rFonts w:ascii="仿宋" w:hAnsi="仿宋" w:eastAsia="仿宋" w:cs="仿宋"/>
          <w:szCs w:val="30"/>
        </w:rPr>
      </w:pPr>
      <w:r>
        <w:rPr>
          <w:rFonts w:hint="eastAsia" w:ascii="仿宋" w:hAnsi="仿宋" w:eastAsia="仿宋" w:cs="仿宋"/>
          <w:szCs w:val="30"/>
        </w:rPr>
        <w:t>1.根据国家对特种设备的管理规定，以及现行有效的《中华人民共和国特种设备安全法》（最新版本实施）和《特种设备安全监察条例》（最新版本实施），本着确保电梯设备安全正常运行的原则开展工作。</w:t>
      </w:r>
    </w:p>
    <w:p w14:paraId="5B08B6B4">
      <w:pPr>
        <w:spacing w:line="560" w:lineRule="exact"/>
        <w:ind w:firstLine="600" w:firstLineChars="200"/>
        <w:rPr>
          <w:rFonts w:ascii="仿宋" w:hAnsi="仿宋" w:eastAsia="仿宋" w:cs="仿宋"/>
          <w:szCs w:val="30"/>
        </w:rPr>
      </w:pPr>
      <w:r>
        <w:rPr>
          <w:rFonts w:hint="eastAsia" w:ascii="仿宋" w:hAnsi="仿宋" w:eastAsia="仿宋" w:cs="仿宋"/>
          <w:szCs w:val="30"/>
        </w:rPr>
        <w:t>2.服务期内，中标供应商按国家制定的TSG规范文件进行维护保养，每次保养工作完毕，双方应在《日常维护保养记录》上签名确认。</w:t>
      </w:r>
    </w:p>
    <w:p w14:paraId="0BAAC000">
      <w:pPr>
        <w:spacing w:line="560" w:lineRule="exact"/>
        <w:ind w:firstLine="600" w:firstLineChars="200"/>
        <w:rPr>
          <w:rFonts w:ascii="仿宋" w:hAnsi="仿宋" w:eastAsia="仿宋" w:cs="仿宋"/>
          <w:szCs w:val="30"/>
        </w:rPr>
      </w:pPr>
      <w:r>
        <w:rPr>
          <w:rFonts w:hint="eastAsia" w:ascii="仿宋" w:hAnsi="仿宋" w:eastAsia="仿宋" w:cs="仿宋"/>
          <w:szCs w:val="30"/>
        </w:rPr>
        <w:t>3.服务期内，中标供应商需提供包括日常保养、故障维修、紧急救援、年度检修等服务。</w:t>
      </w:r>
    </w:p>
    <w:p w14:paraId="24217C28">
      <w:pPr>
        <w:spacing w:line="560" w:lineRule="exact"/>
        <w:ind w:firstLine="600" w:firstLineChars="200"/>
        <w:rPr>
          <w:rFonts w:ascii="仿宋" w:hAnsi="仿宋" w:eastAsia="仿宋" w:cs="仿宋"/>
          <w:szCs w:val="30"/>
        </w:rPr>
      </w:pPr>
      <w:r>
        <w:rPr>
          <w:rFonts w:hint="eastAsia" w:ascii="仿宋" w:hAnsi="仿宋" w:eastAsia="仿宋" w:cs="仿宋"/>
          <w:szCs w:val="30"/>
        </w:rPr>
        <w:t>4.</w:t>
      </w:r>
      <w:r>
        <w:rPr>
          <w:rFonts w:ascii="仿宋" w:hAnsi="仿宋" w:eastAsia="仿宋" w:cs="仿宋"/>
          <w:szCs w:val="30"/>
          <w:lang w:eastAsia="zh-Hans"/>
        </w:rPr>
        <w:t>服务期内如有重大活动，采购人提前1个工作日通知中标供应商，中标供应商须派遣持有效证书的维保人员至现场全程监护，费用按200元/天计算（含人工及基础工具费用，</w:t>
      </w:r>
      <w:r>
        <w:rPr>
          <w:rFonts w:hint="eastAsia" w:ascii="仿宋" w:hAnsi="仿宋" w:eastAsia="仿宋" w:cs="仿宋"/>
          <w:szCs w:val="30"/>
        </w:rPr>
        <w:t>同一校区</w:t>
      </w:r>
      <w:r>
        <w:rPr>
          <w:rFonts w:ascii="仿宋" w:hAnsi="仿宋" w:eastAsia="仿宋" w:cs="仿宋"/>
          <w:szCs w:val="30"/>
          <w:lang w:eastAsia="zh-Hans"/>
        </w:rPr>
        <w:t>同一自然日</w:t>
      </w:r>
      <w:r>
        <w:rPr>
          <w:rFonts w:hint="eastAsia" w:ascii="仿宋" w:hAnsi="仿宋" w:eastAsia="仿宋" w:cs="仿宋"/>
          <w:szCs w:val="30"/>
        </w:rPr>
        <w:t>若</w:t>
      </w:r>
      <w:r>
        <w:rPr>
          <w:rFonts w:ascii="仿宋" w:hAnsi="仿宋" w:eastAsia="仿宋" w:cs="仿宋"/>
          <w:szCs w:val="30"/>
          <w:lang w:eastAsia="zh-Hans"/>
        </w:rPr>
        <w:t>有多次服务的按一次计算）。若因中标供应商监护不到位导致电梯故障，扣除当次服务费用并承担采购人直接损失</w:t>
      </w:r>
      <w:r>
        <w:rPr>
          <w:rFonts w:hint="eastAsia" w:ascii="仿宋" w:hAnsi="仿宋" w:eastAsia="仿宋" w:cs="仿宋"/>
          <w:szCs w:val="30"/>
        </w:rPr>
        <w:t>。</w:t>
      </w:r>
    </w:p>
    <w:p w14:paraId="1175919C">
      <w:pPr>
        <w:spacing w:line="560" w:lineRule="exact"/>
        <w:ind w:firstLine="600" w:firstLineChars="200"/>
        <w:rPr>
          <w:rFonts w:ascii="仿宋" w:hAnsi="仿宋" w:eastAsia="仿宋" w:cs="仿宋"/>
          <w:szCs w:val="30"/>
        </w:rPr>
      </w:pPr>
      <w:r>
        <w:rPr>
          <w:rFonts w:hint="eastAsia" w:ascii="仿宋" w:hAnsi="仿宋" w:eastAsia="仿宋" w:cs="仿宋"/>
          <w:szCs w:val="30"/>
        </w:rPr>
        <w:t>5.每年对负责保养的电梯进行一次全面检修并提交使用状况检查报告，</w:t>
      </w:r>
      <w:r>
        <w:rPr>
          <w:rFonts w:ascii="仿宋" w:hAnsi="仿宋" w:eastAsia="仿宋" w:cs="仿宋"/>
          <w:szCs w:val="30"/>
        </w:rPr>
        <w:t>为确保电梯安全运行，必须遵守国家颁布的TSG特种设备安全技术规范TSGT7001-2023《电梯监督检验和定期检验规则》的相关规定。</w:t>
      </w:r>
    </w:p>
    <w:p w14:paraId="1E499322">
      <w:pPr>
        <w:spacing w:line="560" w:lineRule="exact"/>
        <w:ind w:firstLine="600" w:firstLineChars="200"/>
        <w:rPr>
          <w:rFonts w:ascii="仿宋" w:hAnsi="仿宋" w:eastAsia="仿宋" w:cs="仿宋"/>
          <w:szCs w:val="30"/>
        </w:rPr>
      </w:pPr>
      <w:r>
        <w:rPr>
          <w:rFonts w:hint="eastAsia" w:ascii="仿宋" w:hAnsi="仿宋" w:eastAsia="仿宋" w:cs="仿宋"/>
          <w:szCs w:val="30"/>
        </w:rPr>
        <w:t>6.在电梯维修、保养工作期间，中标供应商须放置规范的围蔽标牌提示或张贴温馨提示告知。</w:t>
      </w:r>
    </w:p>
    <w:p w14:paraId="497B887D">
      <w:pPr>
        <w:spacing w:line="560" w:lineRule="exact"/>
        <w:ind w:firstLine="600" w:firstLineChars="200"/>
        <w:rPr>
          <w:rFonts w:ascii="仿宋" w:hAnsi="仿宋" w:eastAsia="仿宋" w:cs="仿宋"/>
          <w:szCs w:val="30"/>
        </w:rPr>
      </w:pPr>
      <w:r>
        <w:rPr>
          <w:rFonts w:hint="eastAsia" w:ascii="仿宋" w:hAnsi="仿宋" w:eastAsia="仿宋" w:cs="仿宋"/>
          <w:szCs w:val="30"/>
        </w:rPr>
        <w:t>7.服务期内，因中标供应商违规操作、保养缺失、配件质量问题导致电梯损坏或事故，中标供应商需承担全部维修费用及采购人直接经济损失（包括但不限于维修费、误工费、第三方检测费），并按《特种设备安全法》相关条款承担法律责任。</w:t>
      </w:r>
    </w:p>
    <w:p w14:paraId="47754B06">
      <w:pPr>
        <w:spacing w:line="560" w:lineRule="exact"/>
        <w:ind w:firstLine="600" w:firstLineChars="200"/>
        <w:rPr>
          <w:rFonts w:ascii="仿宋" w:hAnsi="仿宋" w:eastAsia="仿宋" w:cs="仿宋"/>
          <w:szCs w:val="30"/>
        </w:rPr>
      </w:pPr>
      <w:r>
        <w:rPr>
          <w:rFonts w:hint="eastAsia" w:ascii="仿宋" w:hAnsi="仿宋" w:eastAsia="仿宋" w:cs="仿宋"/>
          <w:szCs w:val="30"/>
        </w:rPr>
        <w:t>8.服务期内，电梯出现紧急状况或采购人提出特殊紧急的维护、保养、检查要求时，中标供应商须立即作出响应和采取相应措施，确保电梯的正常运行。</w:t>
      </w:r>
    </w:p>
    <w:p w14:paraId="5B020039">
      <w:pPr>
        <w:spacing w:line="560" w:lineRule="exact"/>
        <w:ind w:firstLine="600" w:firstLineChars="200"/>
        <w:rPr>
          <w:rFonts w:ascii="仿宋" w:hAnsi="仿宋" w:eastAsia="仿宋" w:cs="仿宋"/>
          <w:szCs w:val="30"/>
        </w:rPr>
      </w:pPr>
      <w:r>
        <w:rPr>
          <w:rFonts w:hint="eastAsia" w:ascii="仿宋" w:hAnsi="仿宋" w:eastAsia="仿宋" w:cs="仿宋"/>
          <w:szCs w:val="30"/>
          <w:lang w:val="en-US" w:eastAsia="zh-CN"/>
        </w:rPr>
        <w:t>9</w:t>
      </w:r>
      <w:r>
        <w:rPr>
          <w:rFonts w:hint="eastAsia" w:ascii="仿宋" w:hAnsi="仿宋" w:eastAsia="仿宋" w:cs="仿宋"/>
          <w:szCs w:val="30"/>
        </w:rPr>
        <w:t>.在服务期内采购人有权要求中标供应商对采购人新增或新启用电梯提供维修、维护及保养服务，其服务按本次招标要求，服务费用按本次中标的每台电梯平均月单价计算；服务期内如遇电梯长期（一个月或以上）停运或拆除，则按电梯维保月单价核减相应维保费用。</w:t>
      </w:r>
    </w:p>
    <w:p w14:paraId="7ACE071E">
      <w:pPr>
        <w:spacing w:line="560" w:lineRule="exact"/>
        <w:ind w:firstLine="600" w:firstLineChars="200"/>
        <w:rPr>
          <w:rFonts w:ascii="仿宋" w:hAnsi="仿宋" w:eastAsia="仿宋" w:cs="仿宋"/>
          <w:szCs w:val="30"/>
        </w:rPr>
      </w:pPr>
      <w:r>
        <w:rPr>
          <w:rFonts w:hint="eastAsia" w:ascii="仿宋" w:hAnsi="仿宋" w:eastAsia="仿宋" w:cs="仿宋"/>
          <w:szCs w:val="30"/>
        </w:rPr>
        <w:t>1</w:t>
      </w:r>
      <w:r>
        <w:rPr>
          <w:rFonts w:hint="eastAsia" w:ascii="仿宋" w:hAnsi="仿宋" w:eastAsia="仿宋" w:cs="仿宋"/>
          <w:szCs w:val="30"/>
          <w:lang w:val="en-US" w:eastAsia="zh-CN"/>
        </w:rPr>
        <w:t>0</w:t>
      </w:r>
      <w:r>
        <w:rPr>
          <w:rFonts w:hint="eastAsia" w:ascii="仿宋" w:hAnsi="仿宋" w:eastAsia="仿宋" w:cs="仿宋"/>
          <w:szCs w:val="30"/>
        </w:rPr>
        <w:t>.中标供应商自觉接受采购人的监督与管理，配合采购人对电梯的日常检查，对存在的问题需按电梯管理规范和采购人的要求进行整改，对于合理的要求，不得以任何理由拒绝或拖延。</w:t>
      </w:r>
    </w:p>
    <w:p w14:paraId="3EF23A8A">
      <w:pPr>
        <w:spacing w:line="560" w:lineRule="exact"/>
        <w:ind w:firstLine="600" w:firstLineChars="200"/>
        <w:rPr>
          <w:rFonts w:ascii="仿宋" w:hAnsi="仿宋" w:eastAsia="仿宋" w:cs="仿宋"/>
          <w:szCs w:val="30"/>
        </w:rPr>
      </w:pPr>
      <w:r>
        <w:rPr>
          <w:rFonts w:hint="eastAsia" w:ascii="仿宋" w:hAnsi="仿宋" w:eastAsia="仿宋" w:cs="仿宋"/>
          <w:szCs w:val="30"/>
        </w:rPr>
        <w:t>1</w:t>
      </w:r>
      <w:r>
        <w:rPr>
          <w:rFonts w:hint="eastAsia" w:ascii="仿宋" w:hAnsi="仿宋" w:eastAsia="仿宋" w:cs="仿宋"/>
          <w:szCs w:val="30"/>
          <w:lang w:val="en-US" w:eastAsia="zh-CN"/>
        </w:rPr>
        <w:t>1</w:t>
      </w:r>
      <w:r>
        <w:rPr>
          <w:rFonts w:hint="eastAsia" w:ascii="仿宋" w:hAnsi="仿宋" w:eastAsia="仿宋" w:cs="仿宋"/>
          <w:szCs w:val="30"/>
        </w:rPr>
        <w:t>.中标供应商定期对电梯申报检测，办理年审，并确保电梯年检通过。同时为每台维保电梯购买广东省电梯责任保险保险费由中标供应商支付（保险费100元/台/年，每次事故及累计保额≥1000万元）。</w:t>
      </w:r>
    </w:p>
    <w:p w14:paraId="220F531D">
      <w:pPr>
        <w:spacing w:line="560" w:lineRule="exact"/>
        <w:ind w:firstLine="600" w:firstLineChars="200"/>
        <w:rPr>
          <w:rFonts w:ascii="仿宋" w:hAnsi="仿宋" w:eastAsia="仿宋" w:cs="仿宋"/>
          <w:szCs w:val="30"/>
        </w:rPr>
      </w:pPr>
      <w:r>
        <w:rPr>
          <w:rFonts w:hint="eastAsia" w:ascii="仿宋" w:hAnsi="仿宋" w:eastAsia="仿宋" w:cs="仿宋"/>
          <w:szCs w:val="30"/>
        </w:rPr>
        <w:t>1</w:t>
      </w:r>
      <w:r>
        <w:rPr>
          <w:rFonts w:hint="eastAsia" w:ascii="仿宋" w:hAnsi="仿宋" w:eastAsia="仿宋" w:cs="仿宋"/>
          <w:szCs w:val="30"/>
          <w:lang w:val="en-US" w:eastAsia="zh-CN"/>
        </w:rPr>
        <w:t>2</w:t>
      </w:r>
      <w:r>
        <w:rPr>
          <w:rFonts w:hint="eastAsia" w:ascii="仿宋" w:hAnsi="仿宋" w:eastAsia="仿宋" w:cs="仿宋"/>
          <w:szCs w:val="30"/>
        </w:rPr>
        <w:t>.服务期内，因中标供应商未按标准保养、未及时处理故障、人员资质不符等“维保不到位”情形，导致安全事故或采购人经济损失的，中标供应商需承担全部法律责任及经济赔偿（包括直接损失和经鉴定的间接损失）。</w:t>
      </w:r>
    </w:p>
    <w:p w14:paraId="56472A08">
      <w:pPr>
        <w:spacing w:line="560" w:lineRule="exact"/>
        <w:ind w:firstLine="600" w:firstLineChars="200"/>
        <w:rPr>
          <w:rFonts w:ascii="仿宋" w:hAnsi="仿宋" w:eastAsia="仿宋" w:cs="仿宋"/>
          <w:szCs w:val="30"/>
        </w:rPr>
      </w:pPr>
      <w:r>
        <w:rPr>
          <w:rFonts w:hint="eastAsia" w:ascii="仿宋" w:hAnsi="仿宋" w:eastAsia="仿宋" w:cs="仿宋"/>
          <w:szCs w:val="30"/>
        </w:rPr>
        <w:t>（三）电梯维护保养的相关规定和标准：</w:t>
      </w:r>
    </w:p>
    <w:p w14:paraId="7FD71A67">
      <w:pPr>
        <w:spacing w:line="560" w:lineRule="exact"/>
        <w:ind w:firstLine="600" w:firstLineChars="200"/>
        <w:rPr>
          <w:rFonts w:ascii="仿宋" w:hAnsi="仿宋" w:eastAsia="仿宋" w:cs="仿宋"/>
          <w:szCs w:val="30"/>
        </w:rPr>
      </w:pPr>
      <w:r>
        <w:rPr>
          <w:rFonts w:hint="eastAsia" w:ascii="仿宋" w:hAnsi="仿宋" w:eastAsia="仿宋" w:cs="仿宋"/>
          <w:szCs w:val="30"/>
        </w:rPr>
        <w:t>1.随时了解电梯运行情况，停梯维修保养时须挂警示牌。</w:t>
      </w:r>
    </w:p>
    <w:p w14:paraId="6459C3D8">
      <w:pPr>
        <w:spacing w:line="560" w:lineRule="exact"/>
        <w:ind w:firstLine="600" w:firstLineChars="200"/>
        <w:rPr>
          <w:rFonts w:ascii="仿宋" w:hAnsi="仿宋" w:eastAsia="仿宋" w:cs="仿宋"/>
          <w:szCs w:val="30"/>
        </w:rPr>
      </w:pPr>
      <w:r>
        <w:rPr>
          <w:rFonts w:hint="eastAsia" w:ascii="仿宋" w:hAnsi="仿宋" w:eastAsia="仿宋" w:cs="仿宋"/>
          <w:szCs w:val="30"/>
        </w:rPr>
        <w:t>2.优先处理电梯困人、电梯使用率高、活动会议保障需要等紧急情况。</w:t>
      </w:r>
    </w:p>
    <w:p w14:paraId="647112C2">
      <w:pPr>
        <w:spacing w:line="560" w:lineRule="exact"/>
        <w:ind w:firstLine="600" w:firstLineChars="200"/>
        <w:rPr>
          <w:rFonts w:ascii="仿宋" w:hAnsi="仿宋" w:eastAsia="仿宋" w:cs="仿宋"/>
          <w:szCs w:val="30"/>
        </w:rPr>
      </w:pPr>
      <w:r>
        <w:rPr>
          <w:rFonts w:hint="eastAsia" w:ascii="仿宋" w:hAnsi="仿宋" w:eastAsia="仿宋" w:cs="仿宋"/>
          <w:szCs w:val="30"/>
        </w:rPr>
        <w:t>3.对机房、井道、轿顶、底坑和厅门、轿门、召唤指层面板，要定期清理，保持清洁卫生。</w:t>
      </w:r>
    </w:p>
    <w:p w14:paraId="1125B0C5">
      <w:pPr>
        <w:spacing w:line="560" w:lineRule="exact"/>
        <w:ind w:firstLine="600" w:firstLineChars="200"/>
        <w:rPr>
          <w:rFonts w:ascii="仿宋" w:hAnsi="仿宋" w:eastAsia="仿宋" w:cs="仿宋"/>
          <w:szCs w:val="30"/>
        </w:rPr>
      </w:pPr>
      <w:r>
        <w:rPr>
          <w:rFonts w:hint="eastAsia" w:ascii="仿宋" w:hAnsi="仿宋" w:eastAsia="仿宋" w:cs="仿宋"/>
          <w:szCs w:val="30"/>
        </w:rPr>
        <w:t>4.对轿厢照明、应急灯、报警装置、各按钮、控制开关等，要保持功能完好、无破损现象。</w:t>
      </w:r>
    </w:p>
    <w:p w14:paraId="6C079CB9">
      <w:pPr>
        <w:spacing w:line="560" w:lineRule="exact"/>
        <w:ind w:firstLine="600" w:firstLineChars="200"/>
        <w:rPr>
          <w:rFonts w:ascii="仿宋" w:hAnsi="仿宋" w:eastAsia="仿宋" w:cs="仿宋"/>
          <w:szCs w:val="30"/>
        </w:rPr>
      </w:pPr>
      <w:r>
        <w:rPr>
          <w:rFonts w:hint="eastAsia" w:ascii="仿宋" w:hAnsi="仿宋" w:eastAsia="仿宋" w:cs="仿宋"/>
          <w:szCs w:val="30"/>
        </w:rPr>
        <w:t>5.对安全触板、光电保护及其它保护装置，动作要保持符合设计要求。</w:t>
      </w:r>
    </w:p>
    <w:p w14:paraId="568FA35B">
      <w:pPr>
        <w:spacing w:line="560" w:lineRule="exact"/>
        <w:ind w:firstLine="600" w:firstLineChars="200"/>
        <w:rPr>
          <w:rFonts w:ascii="仿宋" w:hAnsi="仿宋" w:eastAsia="仿宋" w:cs="仿宋"/>
          <w:szCs w:val="30"/>
        </w:rPr>
      </w:pPr>
      <w:r>
        <w:rPr>
          <w:rFonts w:hint="eastAsia" w:ascii="仿宋" w:hAnsi="仿宋" w:eastAsia="仿宋" w:cs="仿宋"/>
          <w:szCs w:val="30"/>
        </w:rPr>
        <w:t>6.各层厅外指示灯、到站钟和召唤按钮、消防开关，要保持功能完好。</w:t>
      </w:r>
    </w:p>
    <w:p w14:paraId="3A4F84CA">
      <w:pPr>
        <w:spacing w:line="560" w:lineRule="exact"/>
        <w:ind w:firstLine="600" w:firstLineChars="200"/>
        <w:rPr>
          <w:rFonts w:ascii="仿宋" w:hAnsi="仿宋" w:eastAsia="仿宋" w:cs="仿宋"/>
          <w:szCs w:val="30"/>
        </w:rPr>
      </w:pPr>
      <w:r>
        <w:rPr>
          <w:rFonts w:hint="eastAsia" w:ascii="仿宋" w:hAnsi="仿宋" w:eastAsia="仿宋" w:cs="仿宋"/>
          <w:szCs w:val="30"/>
        </w:rPr>
        <w:t>7.厅门滑块、强迫关门装置、厅门上、下坎，要保持清洁、开关门顺畅。</w:t>
      </w:r>
    </w:p>
    <w:p w14:paraId="62C94978">
      <w:pPr>
        <w:spacing w:line="560" w:lineRule="exact"/>
        <w:ind w:firstLine="600" w:firstLineChars="200"/>
        <w:rPr>
          <w:rFonts w:ascii="仿宋" w:hAnsi="仿宋" w:eastAsia="仿宋" w:cs="仿宋"/>
          <w:szCs w:val="30"/>
        </w:rPr>
      </w:pPr>
      <w:r>
        <w:rPr>
          <w:rFonts w:hint="eastAsia" w:ascii="仿宋" w:hAnsi="仿宋" w:eastAsia="仿宋" w:cs="仿宋"/>
          <w:szCs w:val="30"/>
        </w:rPr>
        <w:t>8.轿门上、下坎、滑轮、门刀组件、门机等，要保持动作灵活、无撞击声、嗓音低。</w:t>
      </w:r>
    </w:p>
    <w:p w14:paraId="4EDCF7A6">
      <w:pPr>
        <w:spacing w:line="560" w:lineRule="exact"/>
        <w:ind w:firstLine="600" w:firstLineChars="200"/>
        <w:rPr>
          <w:rFonts w:ascii="仿宋" w:hAnsi="仿宋" w:eastAsia="仿宋" w:cs="仿宋"/>
          <w:szCs w:val="30"/>
        </w:rPr>
      </w:pPr>
      <w:r>
        <w:rPr>
          <w:rFonts w:hint="eastAsia" w:ascii="仿宋" w:hAnsi="仿宋" w:eastAsia="仿宋" w:cs="仿宋"/>
          <w:szCs w:val="30"/>
        </w:rPr>
        <w:t>9.轿顶照明和开关、检修箱、安全窗、急停、安全钳开关、超载装置等功能要完好。</w:t>
      </w:r>
    </w:p>
    <w:p w14:paraId="524B6CE3">
      <w:pPr>
        <w:spacing w:line="560" w:lineRule="exact"/>
        <w:ind w:firstLine="600" w:firstLineChars="200"/>
        <w:rPr>
          <w:rFonts w:ascii="仿宋" w:hAnsi="仿宋" w:eastAsia="仿宋" w:cs="仿宋"/>
          <w:szCs w:val="30"/>
        </w:rPr>
      </w:pPr>
      <w:r>
        <w:rPr>
          <w:rFonts w:hint="eastAsia" w:ascii="仿宋" w:hAnsi="仿宋" w:eastAsia="仿宋" w:cs="仿宋"/>
          <w:szCs w:val="30"/>
        </w:rPr>
        <w:t>10.感应器、井道信息装置要清洁无破损、无断线脱线现象。</w:t>
      </w:r>
    </w:p>
    <w:p w14:paraId="23558DF3">
      <w:pPr>
        <w:spacing w:line="560" w:lineRule="exact"/>
        <w:ind w:firstLine="600" w:firstLineChars="200"/>
        <w:rPr>
          <w:rFonts w:ascii="仿宋" w:hAnsi="仿宋" w:eastAsia="仿宋" w:cs="仿宋"/>
          <w:szCs w:val="30"/>
        </w:rPr>
      </w:pPr>
      <w:r>
        <w:rPr>
          <w:rFonts w:hint="eastAsia" w:ascii="仿宋" w:hAnsi="仿宋" w:eastAsia="仿宋" w:cs="仿宋"/>
          <w:szCs w:val="30"/>
        </w:rPr>
        <w:t>11.曳引钢丝绳、绳头组合、限速器钢丝绳，张紧度合适，无断股、松弛现象。</w:t>
      </w:r>
    </w:p>
    <w:p w14:paraId="01CF749D">
      <w:pPr>
        <w:spacing w:line="560" w:lineRule="exact"/>
        <w:ind w:firstLine="600" w:firstLineChars="200"/>
        <w:rPr>
          <w:rFonts w:ascii="仿宋" w:hAnsi="仿宋" w:eastAsia="仿宋" w:cs="仿宋"/>
          <w:szCs w:val="30"/>
        </w:rPr>
      </w:pPr>
      <w:r>
        <w:rPr>
          <w:rFonts w:hint="eastAsia" w:ascii="仿宋" w:hAnsi="仿宋" w:eastAsia="仿宋" w:cs="仿宋"/>
          <w:szCs w:val="30"/>
        </w:rPr>
        <w:t>12.随行电缆无扭曲、缠绕现象，补偿链装置无松驰和撞击声。</w:t>
      </w:r>
    </w:p>
    <w:p w14:paraId="00E3E878">
      <w:pPr>
        <w:spacing w:line="560" w:lineRule="exact"/>
        <w:ind w:firstLine="600" w:firstLineChars="200"/>
        <w:rPr>
          <w:rFonts w:ascii="仿宋" w:hAnsi="仿宋" w:eastAsia="仿宋" w:cs="仿宋"/>
          <w:szCs w:val="30"/>
        </w:rPr>
      </w:pPr>
      <w:r>
        <w:rPr>
          <w:rFonts w:hint="eastAsia" w:ascii="仿宋" w:hAnsi="仿宋" w:eastAsia="仿宋" w:cs="仿宋"/>
          <w:szCs w:val="30"/>
        </w:rPr>
        <w:t>13.各限位开关、限速开关、极限开关等，动作灵活、功能可靠。</w:t>
      </w:r>
    </w:p>
    <w:p w14:paraId="533E61A4">
      <w:pPr>
        <w:spacing w:line="560" w:lineRule="exact"/>
        <w:ind w:firstLine="600" w:firstLineChars="200"/>
        <w:rPr>
          <w:rFonts w:ascii="仿宋" w:hAnsi="仿宋" w:eastAsia="仿宋" w:cs="仿宋"/>
          <w:szCs w:val="30"/>
        </w:rPr>
      </w:pPr>
      <w:r>
        <w:rPr>
          <w:rFonts w:hint="eastAsia" w:ascii="仿宋" w:hAnsi="仿宋" w:eastAsia="仿宋" w:cs="仿宋"/>
          <w:szCs w:val="30"/>
        </w:rPr>
        <w:t>14.曳引机、制动器及电动机、曳引机钢丝绳要适时检查。</w:t>
      </w:r>
    </w:p>
    <w:p w14:paraId="67466FBE">
      <w:pPr>
        <w:spacing w:line="560" w:lineRule="exact"/>
        <w:ind w:firstLine="600" w:firstLineChars="200"/>
        <w:rPr>
          <w:rFonts w:ascii="仿宋" w:hAnsi="仿宋" w:eastAsia="仿宋" w:cs="仿宋"/>
          <w:szCs w:val="30"/>
        </w:rPr>
      </w:pPr>
      <w:r>
        <w:rPr>
          <w:rFonts w:hint="eastAsia" w:ascii="仿宋" w:hAnsi="仿宋" w:eastAsia="仿宋" w:cs="仿宋"/>
          <w:szCs w:val="30"/>
        </w:rPr>
        <w:t>15.控制柜各项检查：过流装置、短路保护、接触器、限速器、安全钳联动，要及时观察，定期检查，必要时进行联动试验。</w:t>
      </w:r>
    </w:p>
    <w:p w14:paraId="5A8981A6">
      <w:pPr>
        <w:spacing w:line="560" w:lineRule="exact"/>
        <w:ind w:firstLine="600" w:firstLineChars="200"/>
        <w:rPr>
          <w:rFonts w:ascii="仿宋" w:hAnsi="仿宋" w:eastAsia="仿宋" w:cs="仿宋"/>
          <w:szCs w:val="30"/>
        </w:rPr>
      </w:pPr>
      <w:r>
        <w:rPr>
          <w:rFonts w:hint="eastAsia" w:ascii="仿宋" w:hAnsi="仿宋" w:eastAsia="仿宋" w:cs="仿宋"/>
          <w:szCs w:val="30"/>
        </w:rPr>
        <w:t>16.及时观察各润滑系统和油位情况，按周期加油。及时排除漏油现象。</w:t>
      </w:r>
    </w:p>
    <w:p w14:paraId="0A53B488">
      <w:pPr>
        <w:spacing w:line="560" w:lineRule="exact"/>
        <w:ind w:firstLine="600" w:firstLineChars="200"/>
        <w:rPr>
          <w:rFonts w:ascii="仿宋" w:hAnsi="仿宋" w:eastAsia="仿宋" w:cs="仿宋"/>
          <w:szCs w:val="30"/>
        </w:rPr>
      </w:pPr>
      <w:r>
        <w:rPr>
          <w:rFonts w:hint="eastAsia" w:ascii="仿宋" w:hAnsi="仿宋" w:eastAsia="仿宋" w:cs="仿宋"/>
          <w:szCs w:val="30"/>
        </w:rPr>
        <w:t>17.电梯维护保养的具体时限：</w:t>
      </w:r>
    </w:p>
    <w:p w14:paraId="274860C3">
      <w:pPr>
        <w:spacing w:line="560" w:lineRule="exact"/>
        <w:ind w:firstLine="600" w:firstLineChars="200"/>
        <w:rPr>
          <w:rFonts w:ascii="仿宋" w:hAnsi="仿宋" w:eastAsia="仿宋" w:cs="仿宋"/>
          <w:szCs w:val="30"/>
        </w:rPr>
      </w:pPr>
      <w:r>
        <w:rPr>
          <w:rFonts w:hint="eastAsia" w:ascii="仿宋" w:hAnsi="仿宋" w:eastAsia="仿宋" w:cs="仿宋"/>
          <w:szCs w:val="30"/>
        </w:rPr>
        <w:t>中标供应商须严格遵守国家相关规定，严禁将中标承保的电梯对外转包，严格依照TSG规范文件等最新相关标准开展保养工作。每次完成半月、季度、半年、年度保养项目后，需填写对应保养记录表，由保养人员及相关负责人签字确认。所有保养工作及记录均应符合电梯规范管理及相关技术要求。</w:t>
      </w:r>
    </w:p>
    <w:p w14:paraId="1560D53A">
      <w:pPr>
        <w:spacing w:line="560" w:lineRule="exact"/>
        <w:ind w:firstLine="600" w:firstLineChars="200"/>
        <w:rPr>
          <w:rFonts w:ascii="仿宋" w:hAnsi="仿宋" w:eastAsia="仿宋" w:cs="仿宋"/>
          <w:szCs w:val="30"/>
        </w:rPr>
      </w:pPr>
      <w:r>
        <w:rPr>
          <w:rFonts w:hint="eastAsia" w:ascii="仿宋" w:hAnsi="仿宋" w:eastAsia="仿宋" w:cs="仿宋"/>
          <w:szCs w:val="30"/>
        </w:rPr>
        <w:t>（四）人员服务要求</w:t>
      </w:r>
    </w:p>
    <w:p w14:paraId="08AB4175">
      <w:pPr>
        <w:spacing w:line="560" w:lineRule="exact"/>
        <w:ind w:firstLine="600" w:firstLineChars="200"/>
        <w:rPr>
          <w:rFonts w:ascii="仿宋" w:hAnsi="仿宋" w:eastAsia="仿宋" w:cs="仿宋"/>
          <w:szCs w:val="30"/>
        </w:rPr>
      </w:pPr>
      <w:r>
        <w:rPr>
          <w:rFonts w:hint="eastAsia" w:ascii="仿宋" w:hAnsi="仿宋" w:eastAsia="仿宋" w:cs="仿宋"/>
          <w:szCs w:val="30"/>
        </w:rPr>
        <w:t>1.资质与规范要求：中标供应商人员须持有市场监督管理局颁发的电梯维修T证。作业时必须穿着统一工作服、佩戴工作证。投标供应商需结合项目实际需求，制定涵盖日常管理、技能提升的培训方案，以及针对电梯困人、设备故障等各类突发情况的应急预案。同时，严格遵守采购人的规章制度及消防条例，每次维保结束离开校园前，须向学院相关人员详细说明维修保养完成情况。</w:t>
      </w:r>
    </w:p>
    <w:p w14:paraId="75437019">
      <w:pPr>
        <w:spacing w:line="560" w:lineRule="exact"/>
        <w:ind w:firstLine="600" w:firstLineChars="200"/>
        <w:rPr>
          <w:rFonts w:ascii="仿宋" w:hAnsi="仿宋" w:eastAsia="仿宋" w:cs="仿宋"/>
          <w:szCs w:val="30"/>
        </w:rPr>
      </w:pPr>
      <w:r>
        <w:rPr>
          <w:rFonts w:hint="eastAsia" w:ascii="仿宋" w:hAnsi="仿宋" w:eastAsia="仿宋" w:cs="仿宋"/>
          <w:szCs w:val="30"/>
        </w:rPr>
        <w:t>2.记录与监管要求：中标供应商须建立完善的电梯维保登统计记录体系，包括维保电梯明细表、保养记录本、维修记录本、年检记录本、购买保险记录本等，确保记录内容详实准确，并经监管部门确认。自觉接受采购人的检查监督，中标供应商确保员工全部持证上岗，（投标时需提供承诺函）。</w:t>
      </w:r>
    </w:p>
    <w:p w14:paraId="0325D356">
      <w:pPr>
        <w:spacing w:line="560" w:lineRule="exact"/>
        <w:ind w:firstLine="600" w:firstLineChars="200"/>
        <w:rPr>
          <w:rFonts w:ascii="仿宋" w:hAnsi="仿宋" w:eastAsia="仿宋" w:cs="仿宋"/>
          <w:szCs w:val="30"/>
        </w:rPr>
      </w:pPr>
      <w:r>
        <w:rPr>
          <w:rFonts w:hint="eastAsia" w:ascii="仿宋" w:hAnsi="仿宋" w:eastAsia="仿宋" w:cs="仿宋"/>
          <w:szCs w:val="30"/>
        </w:rPr>
        <w:t>3.人员管理要求：中标供应商负责员工的工资、保险及福利待遇。</w:t>
      </w:r>
    </w:p>
    <w:p w14:paraId="406B4BE4">
      <w:pPr>
        <w:spacing w:line="560" w:lineRule="exact"/>
        <w:ind w:firstLine="600" w:firstLineChars="200"/>
        <w:rPr>
          <w:rFonts w:ascii="仿宋" w:hAnsi="仿宋" w:eastAsia="仿宋" w:cs="仿宋"/>
          <w:szCs w:val="30"/>
        </w:rPr>
      </w:pPr>
      <w:r>
        <w:rPr>
          <w:rFonts w:hint="eastAsia" w:ascii="仿宋" w:hAnsi="仿宋" w:eastAsia="仿宋" w:cs="仿宋"/>
          <w:szCs w:val="30"/>
        </w:rPr>
        <w:t>4.安全责任要求：中标供应商人员在作业过程中和校园范围内发生的一切事故责任，均由中标供应商承担。维保期间，若发现问题需及时向采购人相关部门反馈，并同步提供切实可行的解决方案。</w:t>
      </w:r>
    </w:p>
    <w:p w14:paraId="2C46DD03">
      <w:pPr>
        <w:spacing w:line="560" w:lineRule="exact"/>
        <w:ind w:firstLine="600" w:firstLineChars="200"/>
        <w:rPr>
          <w:rFonts w:ascii="仿宋" w:hAnsi="仿宋" w:eastAsia="仿宋" w:cs="仿宋"/>
          <w:szCs w:val="30"/>
        </w:rPr>
      </w:pPr>
      <w:r>
        <w:rPr>
          <w:rFonts w:hint="eastAsia" w:ascii="仿宋" w:hAnsi="仿宋" w:eastAsia="仿宋" w:cs="仿宋"/>
          <w:szCs w:val="30"/>
        </w:rPr>
        <w:t>5.制度与服务要求：投标供应商需针对本项目制定完善的管理规章制度，涵盖企业内部岗位责任制、维护标准、人员考核录用淘汰机制、关系协调办法、服务规范、量化管理标准及培训制度等。若因电梯故障导致人员伤亡、设备损坏或重大经济损失，中标供应商承担全部责任及赔偿（投标时需提供承诺函）。在服务期间，有下列情况之一者，采购人有权单方面解除合同：</w:t>
      </w:r>
    </w:p>
    <w:p w14:paraId="4F3429EC">
      <w:pPr>
        <w:spacing w:line="560" w:lineRule="exact"/>
        <w:ind w:firstLine="600" w:firstLineChars="200"/>
        <w:rPr>
          <w:rFonts w:ascii="仿宋" w:hAnsi="仿宋" w:eastAsia="仿宋" w:cs="仿宋"/>
          <w:szCs w:val="30"/>
        </w:rPr>
      </w:pPr>
      <w:r>
        <w:rPr>
          <w:rFonts w:hint="eastAsia" w:ascii="仿宋" w:hAnsi="仿宋" w:eastAsia="仿宋" w:cs="仿宋"/>
          <w:szCs w:val="30"/>
        </w:rPr>
        <w:t>（1）中标供应商人员须服从并配合采购人的电梯维保工作安排，若出现拒绝作业、无故拖延情况；</w:t>
      </w:r>
    </w:p>
    <w:p w14:paraId="52B6FFD6">
      <w:pPr>
        <w:spacing w:line="560" w:lineRule="exact"/>
        <w:ind w:firstLine="600" w:firstLineChars="200"/>
        <w:rPr>
          <w:rFonts w:ascii="仿宋" w:hAnsi="仿宋" w:eastAsia="仿宋" w:cs="仿宋"/>
          <w:szCs w:val="30"/>
        </w:rPr>
      </w:pPr>
      <w:r>
        <w:rPr>
          <w:rFonts w:hint="eastAsia" w:ascii="仿宋" w:hAnsi="仿宋" w:eastAsia="仿宋" w:cs="仿宋"/>
          <w:szCs w:val="30"/>
        </w:rPr>
        <w:t>（2）电梯故障困人时，未在约定时间内到达现场或未成功解困。</w:t>
      </w:r>
    </w:p>
    <w:p w14:paraId="1B07AE6A">
      <w:pPr>
        <w:spacing w:line="560" w:lineRule="exact"/>
        <w:ind w:firstLine="600" w:firstLineChars="200"/>
        <w:rPr>
          <w:rFonts w:ascii="仿宋" w:hAnsi="仿宋" w:eastAsia="仿宋" w:cs="仿宋"/>
          <w:szCs w:val="30"/>
        </w:rPr>
      </w:pPr>
      <w:r>
        <w:rPr>
          <w:rFonts w:hint="eastAsia" w:ascii="仿宋" w:hAnsi="仿宋" w:eastAsia="仿宋" w:cs="仿宋"/>
          <w:szCs w:val="30"/>
        </w:rPr>
        <w:t>6.履约与应急要求：中标供应商签订服务合同后，须严格履行投标承诺的各项服务内容，违约行为按合同约定处理。</w:t>
      </w:r>
    </w:p>
    <w:p w14:paraId="06F6AB7F">
      <w:pPr>
        <w:spacing w:line="560" w:lineRule="exact"/>
        <w:ind w:firstLine="600" w:firstLineChars="200"/>
        <w:rPr>
          <w:rFonts w:ascii="仿宋" w:hAnsi="仿宋" w:eastAsia="仿宋" w:cs="仿宋"/>
          <w:szCs w:val="30"/>
        </w:rPr>
      </w:pPr>
      <w:r>
        <w:rPr>
          <w:rFonts w:hint="eastAsia" w:ascii="仿宋" w:hAnsi="仿宋" w:eastAsia="仿宋" w:cs="仿宋"/>
          <w:szCs w:val="30"/>
        </w:rPr>
        <w:t>（五）服务措施</w:t>
      </w:r>
    </w:p>
    <w:p w14:paraId="477064DE">
      <w:pPr>
        <w:spacing w:line="560" w:lineRule="exact"/>
        <w:ind w:firstLine="600" w:firstLineChars="200"/>
        <w:rPr>
          <w:rFonts w:ascii="仿宋" w:hAnsi="仿宋" w:eastAsia="仿宋" w:cs="仿宋"/>
          <w:szCs w:val="30"/>
        </w:rPr>
      </w:pPr>
      <w:r>
        <w:rPr>
          <w:rFonts w:hint="eastAsia" w:ascii="仿宋" w:hAnsi="仿宋" w:eastAsia="仿宋" w:cs="仿宋"/>
          <w:szCs w:val="30"/>
        </w:rPr>
        <w:t>1.在校园电梯维保项目中，对于发现故障或设备隐患的响应及处理措施如下：</w:t>
      </w:r>
    </w:p>
    <w:p w14:paraId="0B6466D5">
      <w:pPr>
        <w:spacing w:line="560" w:lineRule="exact"/>
        <w:ind w:firstLine="600" w:firstLineChars="200"/>
        <w:rPr>
          <w:rFonts w:ascii="仿宋" w:hAnsi="仿宋" w:eastAsia="仿宋" w:cs="仿宋"/>
          <w:szCs w:val="30"/>
        </w:rPr>
      </w:pPr>
      <w:r>
        <w:rPr>
          <w:rFonts w:hint="eastAsia" w:ascii="仿宋" w:hAnsi="仿宋" w:eastAsia="仿宋" w:cs="仿宋"/>
          <w:szCs w:val="30"/>
        </w:rPr>
        <w:t>（1）后台实时监控电梯运行状态，一旦发现故障或设备隐患，立即启动应急预案。</w:t>
      </w:r>
    </w:p>
    <w:p w14:paraId="3F7CDA48">
      <w:pPr>
        <w:spacing w:line="560" w:lineRule="exact"/>
        <w:ind w:firstLine="600" w:firstLineChars="200"/>
        <w:rPr>
          <w:rFonts w:ascii="仿宋" w:hAnsi="仿宋" w:eastAsia="仿宋" w:cs="仿宋"/>
          <w:szCs w:val="30"/>
        </w:rPr>
      </w:pPr>
      <w:r>
        <w:rPr>
          <w:rFonts w:hint="eastAsia" w:ascii="仿宋" w:hAnsi="仿宋" w:eastAsia="仿宋" w:cs="仿宋"/>
          <w:szCs w:val="30"/>
        </w:rPr>
        <w:t>（2）确保维保人员能够在第一时间到达现场，进行故障排查和修复。</w:t>
      </w:r>
    </w:p>
    <w:p w14:paraId="64A51FD2">
      <w:pPr>
        <w:spacing w:line="560" w:lineRule="exact"/>
        <w:ind w:firstLine="600" w:firstLineChars="200"/>
        <w:rPr>
          <w:rFonts w:ascii="仿宋" w:hAnsi="仿宋" w:eastAsia="仿宋" w:cs="仿宋"/>
          <w:szCs w:val="30"/>
        </w:rPr>
      </w:pPr>
      <w:r>
        <w:rPr>
          <w:rFonts w:hint="eastAsia" w:ascii="仿宋" w:hAnsi="仿宋" w:eastAsia="仿宋" w:cs="仿宋"/>
          <w:szCs w:val="30"/>
        </w:rPr>
        <w:t>（3）对于一般故障，应在最短时间内解决；对于重大故障，应及时通知采购人，并制定合理的修复计划。</w:t>
      </w:r>
    </w:p>
    <w:p w14:paraId="5284B426">
      <w:pPr>
        <w:spacing w:line="560" w:lineRule="exact"/>
        <w:ind w:firstLine="600" w:firstLineChars="200"/>
        <w:rPr>
          <w:rFonts w:ascii="仿宋" w:hAnsi="仿宋" w:eastAsia="仿宋" w:cs="仿宋"/>
          <w:szCs w:val="30"/>
        </w:rPr>
      </w:pPr>
      <w:r>
        <w:rPr>
          <w:rFonts w:hint="eastAsia" w:ascii="仿宋" w:hAnsi="仿宋" w:eastAsia="仿宋" w:cs="仿宋"/>
          <w:szCs w:val="30"/>
        </w:rPr>
        <w:t>（4）在故障处理过程中，保持与采购人的沟通，及时反馈处理进度。</w:t>
      </w:r>
    </w:p>
    <w:p w14:paraId="6D68760C">
      <w:pPr>
        <w:spacing w:line="560" w:lineRule="exact"/>
        <w:ind w:firstLine="600" w:firstLineChars="200"/>
        <w:rPr>
          <w:rFonts w:ascii="仿宋" w:hAnsi="仿宋" w:eastAsia="仿宋" w:cs="仿宋"/>
          <w:szCs w:val="30"/>
        </w:rPr>
      </w:pPr>
      <w:r>
        <w:rPr>
          <w:rFonts w:hint="eastAsia" w:ascii="仿宋" w:hAnsi="仿宋" w:eastAsia="仿宋" w:cs="仿宋"/>
          <w:szCs w:val="30"/>
        </w:rPr>
        <w:t>2.增值服务方面：</w:t>
      </w:r>
    </w:p>
    <w:p w14:paraId="0C41A87E">
      <w:pPr>
        <w:spacing w:line="560" w:lineRule="exact"/>
        <w:ind w:firstLine="600" w:firstLineChars="200"/>
        <w:rPr>
          <w:rFonts w:ascii="仿宋" w:hAnsi="仿宋" w:eastAsia="仿宋" w:cs="仿宋"/>
          <w:szCs w:val="30"/>
        </w:rPr>
      </w:pPr>
      <w:r>
        <w:rPr>
          <w:rFonts w:hint="eastAsia" w:ascii="仿宋" w:hAnsi="仿宋" w:eastAsia="仿宋" w:cs="仿宋"/>
          <w:szCs w:val="30"/>
        </w:rPr>
        <w:t>（1）提供定期的电梯安全培训、应急演练提高师生的安全意识。</w:t>
      </w:r>
    </w:p>
    <w:p w14:paraId="77FB8818">
      <w:pPr>
        <w:spacing w:line="560" w:lineRule="exact"/>
        <w:ind w:firstLine="600" w:firstLineChars="200"/>
        <w:rPr>
          <w:rFonts w:ascii="仿宋" w:hAnsi="仿宋" w:eastAsia="仿宋" w:cs="仿宋"/>
          <w:szCs w:val="30"/>
        </w:rPr>
      </w:pPr>
      <w:r>
        <w:rPr>
          <w:rFonts w:hint="eastAsia" w:ascii="仿宋" w:hAnsi="仿宋" w:eastAsia="仿宋" w:cs="仿宋"/>
          <w:szCs w:val="30"/>
        </w:rPr>
        <w:t>（2）定期对电梯进行全面的检查和保养，确保设备的正常运行。</w:t>
      </w:r>
    </w:p>
    <w:p w14:paraId="2BB1A5A3">
      <w:pPr>
        <w:spacing w:line="560" w:lineRule="exact"/>
        <w:ind w:firstLine="600" w:firstLineChars="200"/>
        <w:rPr>
          <w:rFonts w:ascii="仿宋" w:hAnsi="仿宋" w:eastAsia="仿宋" w:cs="仿宋"/>
          <w:szCs w:val="30"/>
        </w:rPr>
      </w:pPr>
      <w:r>
        <w:rPr>
          <w:rFonts w:hint="eastAsia" w:ascii="仿宋" w:hAnsi="仿宋" w:eastAsia="仿宋" w:cs="仿宋"/>
          <w:szCs w:val="30"/>
        </w:rPr>
        <w:t>（3）为采购人提供电梯运行数据分析，协助制定更合理的电梯使用制度。</w:t>
      </w:r>
    </w:p>
    <w:p w14:paraId="11E260E5">
      <w:pPr>
        <w:spacing w:line="560" w:lineRule="exact"/>
        <w:ind w:firstLine="600" w:firstLineChars="200"/>
        <w:rPr>
          <w:rFonts w:ascii="仿宋" w:hAnsi="仿宋" w:eastAsia="仿宋" w:cs="仿宋"/>
          <w:szCs w:val="30"/>
        </w:rPr>
      </w:pPr>
      <w:r>
        <w:rPr>
          <w:rFonts w:hint="eastAsia" w:ascii="仿宋" w:hAnsi="仿宋" w:eastAsia="仿宋" w:cs="仿宋"/>
          <w:szCs w:val="30"/>
        </w:rPr>
        <w:t>3.在学校</w:t>
      </w:r>
      <w:r>
        <w:rPr>
          <w:rFonts w:hint="eastAsia" w:ascii="仿宋" w:hAnsi="仿宋" w:eastAsia="仿宋" w:cs="仿宋"/>
          <w:szCs w:val="30"/>
          <w:lang w:val="en-US" w:eastAsia="zh-CN"/>
        </w:rPr>
        <w:t>工作</w:t>
      </w:r>
      <w:r>
        <w:rPr>
          <w:rFonts w:hint="eastAsia" w:ascii="仿宋" w:hAnsi="仿宋" w:eastAsia="仿宋" w:cs="仿宋"/>
          <w:szCs w:val="30"/>
        </w:rPr>
        <w:t>期间，对于电梯的控制和管理要求如下：</w:t>
      </w:r>
    </w:p>
    <w:p w14:paraId="60A41139">
      <w:pPr>
        <w:spacing w:line="560" w:lineRule="exact"/>
        <w:ind w:firstLine="600" w:firstLineChars="200"/>
        <w:rPr>
          <w:rFonts w:ascii="仿宋" w:hAnsi="仿宋" w:eastAsia="仿宋" w:cs="仿宋"/>
          <w:szCs w:val="30"/>
        </w:rPr>
      </w:pPr>
      <w:r>
        <w:rPr>
          <w:rFonts w:hint="eastAsia" w:ascii="仿宋" w:hAnsi="仿宋" w:eastAsia="仿宋" w:cs="仿宋"/>
          <w:szCs w:val="30"/>
        </w:rPr>
        <w:t>（1）根据活动规模和人员流量，合理安排电梯的运行方式。</w:t>
      </w:r>
    </w:p>
    <w:p w14:paraId="15B8BC39">
      <w:pPr>
        <w:spacing w:line="560" w:lineRule="exact"/>
        <w:ind w:firstLine="600" w:firstLineChars="200"/>
        <w:rPr>
          <w:rFonts w:ascii="仿宋" w:hAnsi="仿宋" w:eastAsia="仿宋" w:cs="仿宋"/>
          <w:szCs w:val="30"/>
        </w:rPr>
      </w:pPr>
      <w:r>
        <w:rPr>
          <w:rFonts w:hint="eastAsia" w:ascii="仿宋" w:hAnsi="仿宋" w:eastAsia="仿宋" w:cs="仿宋"/>
          <w:szCs w:val="30"/>
        </w:rPr>
        <w:t>（2）安排专人在活动期间对电梯进行现场管理，确保乘客的安全和秩序。</w:t>
      </w:r>
    </w:p>
    <w:p w14:paraId="3A23099B">
      <w:pPr>
        <w:spacing w:line="560" w:lineRule="exact"/>
        <w:ind w:firstLine="600" w:firstLineChars="200"/>
        <w:rPr>
          <w:rFonts w:ascii="仿宋" w:hAnsi="仿宋" w:eastAsia="仿宋" w:cs="仿宋"/>
          <w:szCs w:val="30"/>
        </w:rPr>
      </w:pPr>
      <w:r>
        <w:rPr>
          <w:rFonts w:hint="eastAsia" w:ascii="仿宋" w:hAnsi="仿宋" w:eastAsia="仿宋" w:cs="仿宋"/>
          <w:szCs w:val="30"/>
        </w:rPr>
        <w:t>（3）对电梯进行特别检查，确保设备在高负荷运行时的稳定性。</w:t>
      </w:r>
    </w:p>
    <w:p w14:paraId="5AAF0F99">
      <w:pPr>
        <w:spacing w:line="560" w:lineRule="exact"/>
        <w:ind w:firstLine="600" w:firstLineChars="200"/>
        <w:rPr>
          <w:rFonts w:ascii="仿宋" w:hAnsi="仿宋" w:eastAsia="仿宋" w:cs="仿宋"/>
          <w:szCs w:val="30"/>
        </w:rPr>
      </w:pPr>
      <w:r>
        <w:rPr>
          <w:rFonts w:hint="eastAsia" w:ascii="仿宋" w:hAnsi="仿宋" w:eastAsia="仿宋" w:cs="仿宋"/>
          <w:szCs w:val="30"/>
        </w:rPr>
        <w:t>（4）在电梯入口处设置明显的指示标志，引导乘客正确使用电梯。</w:t>
      </w:r>
    </w:p>
    <w:p w14:paraId="32D8117E">
      <w:pPr>
        <w:spacing w:line="560" w:lineRule="exact"/>
        <w:ind w:firstLine="600" w:firstLineChars="200"/>
        <w:rPr>
          <w:rFonts w:ascii="仿宋" w:hAnsi="仿宋" w:eastAsia="仿宋" w:cs="仿宋"/>
          <w:szCs w:val="30"/>
        </w:rPr>
      </w:pPr>
      <w:r>
        <w:rPr>
          <w:rFonts w:hint="eastAsia" w:ascii="仿宋" w:hAnsi="仿宋" w:eastAsia="仿宋" w:cs="仿宋"/>
          <w:szCs w:val="30"/>
        </w:rPr>
        <w:t>（5）提前制定应急预案，应对可能出现的突发情况。</w:t>
      </w:r>
    </w:p>
    <w:p w14:paraId="136188EE">
      <w:pPr>
        <w:spacing w:line="560" w:lineRule="exact"/>
        <w:ind w:firstLine="600" w:firstLineChars="200"/>
        <w:rPr>
          <w:rFonts w:ascii="仿宋" w:hAnsi="仿宋" w:eastAsia="仿宋" w:cs="仿宋"/>
          <w:szCs w:val="30"/>
        </w:rPr>
      </w:pPr>
      <w:r>
        <w:rPr>
          <w:rFonts w:hint="eastAsia" w:ascii="仿宋" w:hAnsi="仿宋" w:eastAsia="仿宋" w:cs="仿宋"/>
          <w:szCs w:val="30"/>
        </w:rPr>
        <w:t>（六）其他要求</w:t>
      </w:r>
    </w:p>
    <w:p w14:paraId="03287F90">
      <w:pPr>
        <w:spacing w:line="560" w:lineRule="exact"/>
        <w:ind w:firstLine="600" w:firstLineChars="200"/>
        <w:rPr>
          <w:rFonts w:ascii="仿宋" w:hAnsi="仿宋" w:eastAsia="仿宋" w:cs="仿宋"/>
          <w:szCs w:val="30"/>
        </w:rPr>
      </w:pPr>
      <w:r>
        <w:rPr>
          <w:rFonts w:hint="eastAsia" w:ascii="仿宋" w:hAnsi="仿宋" w:eastAsia="仿宋" w:cs="仿宋"/>
          <w:szCs w:val="30"/>
        </w:rPr>
        <w:t>1.投标供应商具备各类人员的培训计划：操作方式、目标及行为、操作规范等；具有完整的人员考核：录用与考核淘汰机制，协调关系，服务意识，量化管理及标准运作等，确保维保人员具备足够的专业知识和技能，能够高效、安全地完成电梯的维保工作，保障电梯设备的正常运行和乘客的安全。</w:t>
      </w:r>
    </w:p>
    <w:p w14:paraId="17BF57F9">
      <w:pPr>
        <w:spacing w:line="560" w:lineRule="exact"/>
        <w:ind w:firstLine="600" w:firstLineChars="200"/>
        <w:rPr>
          <w:rFonts w:ascii="仿宋" w:hAnsi="仿宋" w:eastAsia="仿宋" w:cs="仿宋"/>
          <w:szCs w:val="30"/>
        </w:rPr>
      </w:pPr>
      <w:r>
        <w:rPr>
          <w:rFonts w:hint="eastAsia" w:ascii="仿宋" w:hAnsi="仿宋" w:eastAsia="仿宋" w:cs="仿宋"/>
          <w:szCs w:val="30"/>
        </w:rPr>
        <w:t>2.经验要求：投标供应商具备履约能力，具备同类服务履约经验和评价。</w:t>
      </w:r>
    </w:p>
    <w:p w14:paraId="384A76D3">
      <w:pPr>
        <w:spacing w:line="560" w:lineRule="exact"/>
        <w:ind w:firstLine="600" w:firstLineChars="200"/>
        <w:rPr>
          <w:rFonts w:ascii="仿宋" w:hAnsi="仿宋" w:eastAsia="仿宋" w:cs="仿宋"/>
          <w:szCs w:val="30"/>
        </w:rPr>
      </w:pPr>
      <w:r>
        <w:rPr>
          <w:rFonts w:hint="eastAsia" w:ascii="仿宋" w:hAnsi="仿宋" w:eastAsia="仿宋" w:cs="仿宋"/>
          <w:szCs w:val="30"/>
        </w:rPr>
        <w:t>3.投标供应商应具备项目管理能力：质量管理能力；环境管理能力；商品售后服务能力。</w:t>
      </w:r>
    </w:p>
    <w:p w14:paraId="0371F586">
      <w:pPr>
        <w:spacing w:line="560" w:lineRule="exact"/>
        <w:ind w:firstLine="600" w:firstLineChars="200"/>
        <w:rPr>
          <w:rFonts w:ascii="仿宋" w:hAnsi="仿宋" w:eastAsia="仿宋" w:cs="仿宋"/>
          <w:szCs w:val="30"/>
        </w:rPr>
      </w:pPr>
      <w:r>
        <w:rPr>
          <w:rFonts w:hint="eastAsia" w:ascii="仿宋" w:hAnsi="仿宋" w:eastAsia="仿宋" w:cs="仿宋"/>
          <w:szCs w:val="30"/>
        </w:rPr>
        <w:t>五、现场踏勘</w:t>
      </w:r>
    </w:p>
    <w:p w14:paraId="6B06544B">
      <w:pPr>
        <w:spacing w:line="560" w:lineRule="exact"/>
        <w:ind w:firstLine="600" w:firstLineChars="200"/>
        <w:rPr>
          <w:rFonts w:ascii="仿宋" w:hAnsi="仿宋" w:eastAsia="仿宋" w:cs="仿宋"/>
          <w:szCs w:val="30"/>
        </w:rPr>
      </w:pPr>
      <w:r>
        <w:rPr>
          <w:rFonts w:hint="eastAsia" w:ascii="仿宋" w:hAnsi="仿宋" w:eastAsia="仿宋" w:cs="仿宋"/>
          <w:szCs w:val="30"/>
        </w:rPr>
        <w:t>1.本项目在公示期内（节假日除外）每天上午10：00～11：00时（其他时段不受理）接受电话预约。业务联系人：岑老师 电话：0750-</w:t>
      </w:r>
      <w:r>
        <w:rPr>
          <w:rFonts w:hint="eastAsia" w:ascii="仿宋" w:hAnsi="仿宋" w:eastAsia="仿宋" w:cs="仿宋"/>
          <w:bCs/>
          <w:kern w:val="0"/>
          <w:szCs w:val="30"/>
        </w:rPr>
        <w:t>3073908</w:t>
      </w:r>
      <w:r>
        <w:rPr>
          <w:rFonts w:hint="eastAsia" w:ascii="仿宋" w:hAnsi="仿宋" w:eastAsia="仿宋" w:cs="仿宋"/>
          <w:szCs w:val="30"/>
        </w:rPr>
        <w:t>。</w:t>
      </w:r>
    </w:p>
    <w:p w14:paraId="00189E5A">
      <w:pPr>
        <w:spacing w:line="560" w:lineRule="exact"/>
        <w:ind w:firstLine="600" w:firstLineChars="200"/>
        <w:rPr>
          <w:rFonts w:ascii="仿宋" w:hAnsi="仿宋" w:eastAsia="仿宋" w:cs="仿宋"/>
          <w:szCs w:val="30"/>
        </w:rPr>
      </w:pPr>
      <w:r>
        <w:rPr>
          <w:rFonts w:hint="eastAsia" w:ascii="仿宋" w:hAnsi="仿宋" w:eastAsia="仿宋" w:cs="仿宋"/>
          <w:szCs w:val="30"/>
        </w:rPr>
        <w:t>2.投标人按约定时间在校门口等待（江门市蓬江区潮连环岛西路22号，江门市蓬江区荷塘镇启富路1号），由总务部工作人员带领现场勘察。</w:t>
      </w:r>
    </w:p>
    <w:p w14:paraId="03282C09">
      <w:pPr>
        <w:spacing w:line="560" w:lineRule="exact"/>
        <w:ind w:firstLine="600" w:firstLineChars="200"/>
        <w:rPr>
          <w:rFonts w:ascii="仿宋" w:hAnsi="仿宋" w:eastAsia="仿宋" w:cs="仿宋"/>
          <w:szCs w:val="30"/>
        </w:rPr>
      </w:pPr>
      <w:r>
        <w:rPr>
          <w:rFonts w:hint="eastAsia" w:ascii="仿宋" w:hAnsi="仿宋" w:eastAsia="仿宋" w:cs="仿宋"/>
          <w:szCs w:val="30"/>
        </w:rPr>
        <w:t>六、付款方式</w:t>
      </w:r>
    </w:p>
    <w:p w14:paraId="7A8EA93F">
      <w:pPr>
        <w:spacing w:line="560" w:lineRule="exact"/>
        <w:ind w:firstLine="600" w:firstLineChars="200"/>
        <w:rPr>
          <w:rFonts w:hint="eastAsia" w:ascii="仿宋" w:hAnsi="仿宋" w:eastAsia="仿宋" w:cs="仿宋"/>
          <w:szCs w:val="30"/>
        </w:rPr>
      </w:pPr>
      <w:r>
        <w:rPr>
          <w:rFonts w:hint="eastAsia" w:ascii="仿宋" w:hAnsi="仿宋" w:eastAsia="仿宋" w:cs="仿宋"/>
          <w:szCs w:val="30"/>
        </w:rPr>
        <w:t xml:space="preserve">（1）服务费按半年为周期进行支付，支付金额依据当期实际维保电梯的数量予以计算，当期服务费于下一周期的首月内完成支付。若支付时间恰逢寒暑假，双方应另行协商以确定具体的支付时间。每次支付时，中标供应商需向采购人提供对应金额的正式发票，采购人应在收到发票后的 10个工作日内完成支付。 </w:t>
      </w:r>
    </w:p>
    <w:p w14:paraId="407DABF1">
      <w:pPr>
        <w:spacing w:line="560" w:lineRule="exact"/>
        <w:ind w:firstLine="600" w:firstLineChars="200"/>
        <w:rPr>
          <w:rFonts w:ascii="仿宋" w:hAnsi="仿宋" w:eastAsia="仿宋" w:cs="仿宋"/>
          <w:szCs w:val="30"/>
        </w:rPr>
      </w:pPr>
      <w:r>
        <w:rPr>
          <w:rFonts w:hint="eastAsia" w:ascii="仿宋" w:hAnsi="仿宋" w:eastAsia="仿宋" w:cs="仿宋"/>
          <w:szCs w:val="30"/>
        </w:rPr>
        <w:t>（2）因采购人使用的是财政资金，采购人在规定的付款时间为向政府采购支付部门提出办理财政支付申请手续的时间（不含政府财政支付部门审核的时间），在规定时间内提出支付申请手续后即视为采购人已经按期支付。中标供应商不得以资金付款期限已过为由向采购人索赔或要求支付违约金。</w:t>
      </w:r>
    </w:p>
    <w:p w14:paraId="1C3B2AD4">
      <w:pPr>
        <w:spacing w:line="560" w:lineRule="exact"/>
        <w:ind w:firstLine="600" w:firstLineChars="200"/>
        <w:rPr>
          <w:rFonts w:ascii="仿宋" w:hAnsi="仿宋" w:eastAsia="仿宋" w:cs="仿宋"/>
          <w:szCs w:val="30"/>
        </w:rPr>
      </w:pPr>
      <w:r>
        <w:rPr>
          <w:rFonts w:hint="eastAsia" w:ascii="仿宋" w:hAnsi="仿宋" w:eastAsia="仿宋" w:cs="仿宋"/>
          <w:szCs w:val="30"/>
        </w:rPr>
        <w:t>七、违约责任</w:t>
      </w:r>
    </w:p>
    <w:p w14:paraId="70424C8C">
      <w:pPr>
        <w:spacing w:line="560" w:lineRule="exact"/>
        <w:ind w:firstLine="600" w:firstLineChars="200"/>
        <w:rPr>
          <w:rFonts w:ascii="仿宋" w:hAnsi="仿宋" w:eastAsia="仿宋" w:cs="仿宋"/>
          <w:szCs w:val="30"/>
        </w:rPr>
      </w:pPr>
      <w:r>
        <w:rPr>
          <w:rFonts w:hint="eastAsia" w:ascii="仿宋" w:hAnsi="仿宋" w:eastAsia="仿宋" w:cs="仿宋"/>
          <w:szCs w:val="30"/>
        </w:rPr>
        <w:t>1.在服务期内，采购人监督和检查中标供应商的电梯设施维修、维护及保养服务工作，针对服务质量、工作成效和合同执行情况，如中标供应商未能履行合同或未能达到招投标文件要求的服务目标（包括相关人员的人数及技术人员的资格证书不符合要求的），采购人有权向中标供应商提出限期整改警告，情节严重者可终止合同。</w:t>
      </w:r>
    </w:p>
    <w:p w14:paraId="148419D3">
      <w:pPr>
        <w:spacing w:line="560" w:lineRule="exact"/>
        <w:ind w:firstLine="600" w:firstLineChars="200"/>
        <w:rPr>
          <w:rFonts w:ascii="仿宋" w:hAnsi="仿宋" w:eastAsia="仿宋" w:cs="仿宋"/>
          <w:szCs w:val="30"/>
        </w:rPr>
      </w:pPr>
      <w:r>
        <w:rPr>
          <w:rFonts w:hint="eastAsia" w:ascii="仿宋" w:hAnsi="仿宋" w:eastAsia="仿宋" w:cs="仿宋"/>
          <w:szCs w:val="30"/>
        </w:rPr>
        <w:t>2.若同一问题在一年内整改两次后仍达不到采购人要求的，采购人有权单方面提前终止维保合同。</w:t>
      </w:r>
    </w:p>
    <w:p w14:paraId="47F02BB1">
      <w:pPr>
        <w:spacing w:line="560" w:lineRule="exact"/>
        <w:ind w:firstLine="600" w:firstLineChars="200"/>
        <w:rPr>
          <w:rFonts w:ascii="仿宋" w:hAnsi="仿宋" w:eastAsia="仿宋" w:cs="仿宋"/>
          <w:szCs w:val="30"/>
        </w:rPr>
      </w:pPr>
      <w:r>
        <w:rPr>
          <w:rFonts w:hint="eastAsia" w:ascii="仿宋" w:hAnsi="仿宋" w:eastAsia="仿宋" w:cs="仿宋"/>
          <w:szCs w:val="30"/>
        </w:rPr>
        <w:t>3.中标供应商提供假冒、劣质或以次充好的产品，经质检部门证实，中标供应商须承担由于产品质量、安装不当等引发的事故（财产损失、人身伤亡）责任和全部费用。</w:t>
      </w:r>
    </w:p>
    <w:p w14:paraId="25B2377D">
      <w:pPr>
        <w:spacing w:line="560" w:lineRule="exact"/>
        <w:ind w:firstLine="600" w:firstLineChars="200"/>
        <w:rPr>
          <w:rFonts w:hint="eastAsia" w:ascii="仿宋" w:hAnsi="仿宋" w:eastAsia="仿宋" w:cs="仿宋"/>
          <w:szCs w:val="30"/>
        </w:rPr>
      </w:pPr>
      <w:r>
        <w:rPr>
          <w:rFonts w:hint="eastAsia" w:ascii="仿宋" w:hAnsi="仿宋" w:eastAsia="仿宋" w:cs="仿宋"/>
          <w:szCs w:val="30"/>
        </w:rPr>
        <w:t>4.由于中标供应商的原因导致上述电梯未能通过“广东省特种设备检测院江门检测院”年审的，未能取得有效期的电梯使用标志，须按有关部门要求及时整改，如导致采购人被相关部门通报、处罚等情况，因此造成的责任和费用由中标供应商全部承担。</w:t>
      </w:r>
    </w:p>
    <w:p w14:paraId="2EFCC580">
      <w:pPr>
        <w:jc w:val="center"/>
        <w:rPr>
          <w:rFonts w:hint="eastAsia" w:ascii="仿宋" w:hAnsi="仿宋" w:eastAsia="仿宋" w:cs="仿宋"/>
          <w:b/>
          <w:szCs w:val="30"/>
        </w:rPr>
      </w:pPr>
    </w:p>
    <w:p w14:paraId="24AC044A">
      <w:pPr>
        <w:jc w:val="center"/>
        <w:rPr>
          <w:rFonts w:hint="eastAsia" w:ascii="仿宋" w:hAnsi="仿宋" w:eastAsia="仿宋" w:cs="仿宋"/>
          <w:b/>
          <w:szCs w:val="30"/>
        </w:rPr>
      </w:pPr>
    </w:p>
    <w:p w14:paraId="75E2EFEA">
      <w:pPr>
        <w:jc w:val="center"/>
        <w:rPr>
          <w:rFonts w:hint="eastAsia" w:ascii="仿宋" w:hAnsi="仿宋" w:eastAsia="仿宋" w:cs="仿宋"/>
          <w:b/>
          <w:szCs w:val="30"/>
        </w:rPr>
      </w:pPr>
    </w:p>
    <w:p w14:paraId="0CE3967C">
      <w:pPr>
        <w:jc w:val="center"/>
        <w:rPr>
          <w:rFonts w:hint="eastAsia" w:ascii="仿宋" w:hAnsi="仿宋" w:eastAsia="仿宋" w:cs="仿宋"/>
          <w:b/>
          <w:szCs w:val="30"/>
        </w:rPr>
      </w:pPr>
    </w:p>
    <w:p w14:paraId="7D693028">
      <w:pPr>
        <w:jc w:val="center"/>
        <w:rPr>
          <w:rFonts w:hint="eastAsia" w:ascii="仿宋" w:hAnsi="仿宋" w:eastAsia="仿宋" w:cs="仿宋"/>
          <w:b/>
          <w:szCs w:val="30"/>
        </w:rPr>
      </w:pPr>
    </w:p>
    <w:p w14:paraId="41DE77BB">
      <w:pPr>
        <w:jc w:val="both"/>
        <w:rPr>
          <w:rFonts w:hint="eastAsia" w:ascii="仿宋" w:hAnsi="仿宋" w:eastAsia="仿宋" w:cs="仿宋"/>
          <w:b/>
          <w:szCs w:val="30"/>
        </w:rPr>
      </w:pPr>
    </w:p>
    <w:p w14:paraId="7B8201BE">
      <w:pPr>
        <w:jc w:val="center"/>
        <w:rPr>
          <w:rFonts w:hint="eastAsia" w:ascii="仿宋" w:hAnsi="仿宋" w:eastAsia="仿宋" w:cs="仿宋"/>
          <w:b/>
          <w:szCs w:val="30"/>
        </w:rPr>
      </w:pPr>
    </w:p>
    <w:p w14:paraId="67462664">
      <w:pPr>
        <w:jc w:val="center"/>
        <w:rPr>
          <w:rFonts w:hint="eastAsia" w:ascii="仿宋" w:hAnsi="仿宋" w:eastAsia="仿宋" w:cs="仿宋"/>
          <w:b/>
          <w:szCs w:val="30"/>
        </w:rPr>
      </w:pPr>
    </w:p>
    <w:p w14:paraId="76700DE8">
      <w:pPr>
        <w:jc w:val="center"/>
        <w:rPr>
          <w:rFonts w:hint="eastAsia" w:ascii="仿宋" w:hAnsi="仿宋" w:eastAsia="仿宋" w:cs="仿宋"/>
          <w:b/>
          <w:szCs w:val="30"/>
        </w:rPr>
      </w:pPr>
    </w:p>
    <w:p w14:paraId="6EBE41B3">
      <w:pPr>
        <w:jc w:val="center"/>
        <w:rPr>
          <w:rFonts w:hint="eastAsia" w:ascii="仿宋" w:hAnsi="仿宋" w:eastAsia="仿宋" w:cs="仿宋"/>
          <w:b/>
          <w:szCs w:val="30"/>
        </w:rPr>
      </w:pPr>
    </w:p>
    <w:p w14:paraId="1E9F2CDA">
      <w:pPr>
        <w:jc w:val="center"/>
        <w:rPr>
          <w:rFonts w:hint="eastAsia" w:ascii="仿宋" w:hAnsi="仿宋" w:eastAsia="仿宋" w:cs="仿宋"/>
          <w:b/>
          <w:szCs w:val="30"/>
        </w:rPr>
      </w:pPr>
    </w:p>
    <w:p w14:paraId="5068C55E">
      <w:pPr>
        <w:jc w:val="center"/>
        <w:rPr>
          <w:rFonts w:hint="eastAsia" w:ascii="仿宋" w:hAnsi="仿宋" w:eastAsia="仿宋" w:cs="仿宋"/>
          <w:b/>
          <w:szCs w:val="30"/>
        </w:rPr>
      </w:pPr>
    </w:p>
    <w:p w14:paraId="1EEC0A63">
      <w:pPr>
        <w:jc w:val="center"/>
        <w:rPr>
          <w:rFonts w:hint="eastAsia" w:ascii="仿宋" w:hAnsi="仿宋" w:eastAsia="仿宋" w:cs="仿宋"/>
          <w:b/>
          <w:szCs w:val="30"/>
        </w:rPr>
      </w:pPr>
    </w:p>
    <w:p w14:paraId="4FEFEF33">
      <w:pPr>
        <w:jc w:val="center"/>
        <w:rPr>
          <w:rFonts w:hint="eastAsia" w:ascii="仿宋" w:hAnsi="仿宋" w:eastAsia="仿宋" w:cs="仿宋"/>
          <w:b/>
          <w:szCs w:val="30"/>
        </w:rPr>
      </w:pPr>
    </w:p>
    <w:p w14:paraId="3FC30F9D">
      <w:pPr>
        <w:jc w:val="center"/>
        <w:rPr>
          <w:rFonts w:hint="eastAsia" w:ascii="仿宋" w:hAnsi="仿宋" w:eastAsia="仿宋" w:cs="仿宋"/>
          <w:b/>
          <w:szCs w:val="30"/>
        </w:rPr>
      </w:pPr>
    </w:p>
    <w:p w14:paraId="2604D1D8">
      <w:pPr>
        <w:jc w:val="center"/>
        <w:rPr>
          <w:rFonts w:hint="eastAsia" w:ascii="仿宋" w:hAnsi="仿宋" w:eastAsia="仿宋" w:cs="仿宋"/>
          <w:b/>
          <w:szCs w:val="30"/>
        </w:rPr>
      </w:pPr>
    </w:p>
    <w:p w14:paraId="18D7BC8E">
      <w:pPr>
        <w:jc w:val="center"/>
        <w:rPr>
          <w:rFonts w:hint="eastAsia" w:ascii="仿宋" w:hAnsi="仿宋" w:eastAsia="仿宋" w:cs="仿宋"/>
          <w:b/>
          <w:szCs w:val="30"/>
        </w:rPr>
      </w:pPr>
    </w:p>
    <w:p w14:paraId="2CF6189A">
      <w:pPr>
        <w:jc w:val="center"/>
        <w:rPr>
          <w:rFonts w:hint="eastAsia" w:ascii="仿宋" w:hAnsi="仿宋" w:eastAsia="仿宋" w:cs="仿宋"/>
          <w:b/>
          <w:szCs w:val="30"/>
        </w:rPr>
      </w:pPr>
    </w:p>
    <w:p w14:paraId="61494541">
      <w:pPr>
        <w:jc w:val="center"/>
        <w:rPr>
          <w:rFonts w:hint="eastAsia" w:ascii="仿宋" w:hAnsi="仿宋" w:eastAsia="仿宋" w:cs="仿宋"/>
          <w:b/>
          <w:szCs w:val="30"/>
        </w:rPr>
      </w:pPr>
    </w:p>
    <w:p w14:paraId="277E0AEE">
      <w:pPr>
        <w:jc w:val="center"/>
        <w:rPr>
          <w:rFonts w:hint="eastAsia" w:ascii="仿宋" w:hAnsi="仿宋" w:eastAsia="仿宋" w:cs="仿宋"/>
          <w:b/>
          <w:szCs w:val="30"/>
        </w:rPr>
      </w:pPr>
    </w:p>
    <w:p w14:paraId="5D91DEBE">
      <w:pPr>
        <w:jc w:val="center"/>
        <w:rPr>
          <w:rFonts w:hint="eastAsia" w:ascii="仿宋" w:hAnsi="仿宋" w:eastAsia="仿宋" w:cs="仿宋"/>
          <w:b/>
          <w:szCs w:val="30"/>
        </w:rPr>
      </w:pPr>
    </w:p>
    <w:p w14:paraId="74D68D1B">
      <w:pPr>
        <w:jc w:val="center"/>
        <w:rPr>
          <w:rFonts w:hint="eastAsia" w:ascii="仿宋" w:hAnsi="仿宋" w:eastAsia="仿宋" w:cs="仿宋"/>
          <w:b/>
          <w:szCs w:val="30"/>
        </w:rPr>
      </w:pPr>
    </w:p>
    <w:p w14:paraId="5397157F">
      <w:pPr>
        <w:jc w:val="center"/>
        <w:rPr>
          <w:rFonts w:hint="eastAsia" w:ascii="仿宋" w:hAnsi="仿宋" w:eastAsia="仿宋" w:cs="仿宋"/>
          <w:b/>
          <w:szCs w:val="30"/>
        </w:rPr>
      </w:pPr>
    </w:p>
    <w:p w14:paraId="023FF7E9">
      <w:pPr>
        <w:jc w:val="center"/>
        <w:rPr>
          <w:rFonts w:hint="eastAsia" w:ascii="仿宋" w:hAnsi="仿宋" w:eastAsia="仿宋" w:cs="仿宋"/>
          <w:b/>
          <w:szCs w:val="30"/>
        </w:rPr>
      </w:pPr>
    </w:p>
    <w:p w14:paraId="2D96B152">
      <w:pPr>
        <w:jc w:val="center"/>
        <w:rPr>
          <w:rFonts w:hint="eastAsia" w:ascii="仿宋" w:hAnsi="仿宋" w:eastAsia="仿宋" w:cs="仿宋"/>
          <w:b/>
          <w:szCs w:val="30"/>
        </w:rPr>
      </w:pPr>
    </w:p>
    <w:p w14:paraId="2CAD73BB">
      <w:pPr>
        <w:jc w:val="center"/>
        <w:rPr>
          <w:rFonts w:hint="eastAsia" w:ascii="仿宋" w:hAnsi="仿宋" w:eastAsia="仿宋" w:cs="仿宋"/>
          <w:b/>
          <w:szCs w:val="30"/>
        </w:rPr>
      </w:pPr>
    </w:p>
    <w:p w14:paraId="23B048FA">
      <w:pPr>
        <w:jc w:val="center"/>
        <w:rPr>
          <w:rFonts w:ascii="仿宋" w:hAnsi="仿宋" w:eastAsia="仿宋" w:cs="仿宋"/>
          <w:b/>
          <w:szCs w:val="30"/>
        </w:rPr>
      </w:pPr>
      <w:r>
        <w:rPr>
          <w:rFonts w:hint="eastAsia" w:ascii="仿宋" w:hAnsi="仿宋" w:eastAsia="仿宋" w:cs="仿宋"/>
          <w:b/>
          <w:szCs w:val="30"/>
        </w:rPr>
        <w:t>第二章评分标准</w:t>
      </w:r>
    </w:p>
    <w:tbl>
      <w:tblPr>
        <w:tblStyle w:val="15"/>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807"/>
        <w:gridCol w:w="1259"/>
        <w:gridCol w:w="900"/>
        <w:gridCol w:w="6391"/>
      </w:tblGrid>
      <w:tr w14:paraId="47BB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65" w:type="dxa"/>
            <w:vAlign w:val="center"/>
          </w:tcPr>
          <w:p w14:paraId="3C5AA8F0">
            <w:pPr>
              <w:spacing w:line="48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807" w:type="dxa"/>
            <w:vAlign w:val="center"/>
          </w:tcPr>
          <w:p w14:paraId="78F1869E">
            <w:pPr>
              <w:spacing w:line="480" w:lineRule="exact"/>
              <w:jc w:val="center"/>
              <w:rPr>
                <w:rFonts w:ascii="仿宋" w:hAnsi="仿宋" w:eastAsia="仿宋" w:cs="仿宋"/>
                <w:sz w:val="24"/>
                <w:szCs w:val="24"/>
              </w:rPr>
            </w:pPr>
            <w:r>
              <w:rPr>
                <w:rFonts w:hint="eastAsia" w:ascii="仿宋" w:hAnsi="仿宋" w:eastAsia="仿宋" w:cs="仿宋"/>
                <w:sz w:val="24"/>
                <w:szCs w:val="24"/>
              </w:rPr>
              <w:t>类别</w:t>
            </w:r>
          </w:p>
        </w:tc>
        <w:tc>
          <w:tcPr>
            <w:tcW w:w="1259" w:type="dxa"/>
            <w:vAlign w:val="center"/>
          </w:tcPr>
          <w:p w14:paraId="5021BABD">
            <w:pPr>
              <w:spacing w:line="480" w:lineRule="exact"/>
              <w:jc w:val="center"/>
              <w:rPr>
                <w:rFonts w:ascii="仿宋" w:hAnsi="仿宋" w:eastAsia="仿宋" w:cs="仿宋"/>
                <w:sz w:val="24"/>
                <w:szCs w:val="24"/>
              </w:rPr>
            </w:pPr>
            <w:r>
              <w:rPr>
                <w:rFonts w:hint="eastAsia" w:ascii="仿宋" w:hAnsi="仿宋" w:eastAsia="仿宋" w:cs="仿宋"/>
                <w:sz w:val="24"/>
                <w:szCs w:val="24"/>
              </w:rPr>
              <w:t>项目</w:t>
            </w:r>
          </w:p>
        </w:tc>
        <w:tc>
          <w:tcPr>
            <w:tcW w:w="900" w:type="dxa"/>
            <w:vAlign w:val="center"/>
          </w:tcPr>
          <w:p w14:paraId="7111586D">
            <w:pPr>
              <w:spacing w:line="480" w:lineRule="exact"/>
              <w:jc w:val="center"/>
              <w:rPr>
                <w:rFonts w:ascii="仿宋" w:hAnsi="仿宋" w:eastAsia="仿宋" w:cs="仿宋"/>
                <w:sz w:val="24"/>
                <w:szCs w:val="24"/>
              </w:rPr>
            </w:pPr>
            <w:r>
              <w:rPr>
                <w:rFonts w:hint="eastAsia" w:ascii="仿宋" w:hAnsi="仿宋" w:eastAsia="仿宋" w:cs="仿宋"/>
                <w:sz w:val="24"/>
                <w:szCs w:val="24"/>
              </w:rPr>
              <w:t>配分</w:t>
            </w:r>
          </w:p>
        </w:tc>
        <w:tc>
          <w:tcPr>
            <w:tcW w:w="6391" w:type="dxa"/>
            <w:vAlign w:val="center"/>
          </w:tcPr>
          <w:p w14:paraId="2B17B11B">
            <w:pPr>
              <w:spacing w:line="480" w:lineRule="exact"/>
              <w:jc w:val="center"/>
              <w:rPr>
                <w:rFonts w:ascii="仿宋" w:hAnsi="仿宋" w:eastAsia="仿宋" w:cs="仿宋"/>
                <w:sz w:val="24"/>
                <w:szCs w:val="24"/>
              </w:rPr>
            </w:pPr>
            <w:r>
              <w:rPr>
                <w:rFonts w:hint="eastAsia" w:ascii="仿宋" w:hAnsi="仿宋" w:eastAsia="仿宋" w:cs="仿宋"/>
                <w:sz w:val="24"/>
                <w:szCs w:val="24"/>
              </w:rPr>
              <w:t>具体内容要求</w:t>
            </w:r>
          </w:p>
        </w:tc>
      </w:tr>
      <w:tr w14:paraId="0E45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3B2C6DD7">
            <w:pPr>
              <w:spacing w:line="480" w:lineRule="exact"/>
              <w:jc w:val="center"/>
              <w:rPr>
                <w:rFonts w:ascii="仿宋" w:hAnsi="仿宋" w:eastAsia="仿宋" w:cs="仿宋"/>
                <w:sz w:val="24"/>
                <w:szCs w:val="24"/>
              </w:rPr>
            </w:pPr>
            <w:r>
              <w:rPr>
                <w:rFonts w:hint="eastAsia" w:ascii="仿宋" w:hAnsi="仿宋" w:eastAsia="仿宋" w:cs="仿宋"/>
                <w:sz w:val="24"/>
                <w:szCs w:val="24"/>
              </w:rPr>
              <w:t>1</w:t>
            </w:r>
          </w:p>
        </w:tc>
        <w:tc>
          <w:tcPr>
            <w:tcW w:w="807" w:type="dxa"/>
            <w:tcBorders>
              <w:top w:val="single" w:color="auto" w:sz="4" w:space="0"/>
              <w:left w:val="single" w:color="auto" w:sz="4" w:space="0"/>
              <w:bottom w:val="single" w:color="auto" w:sz="4" w:space="0"/>
              <w:right w:val="single" w:color="auto" w:sz="4" w:space="0"/>
            </w:tcBorders>
            <w:vAlign w:val="center"/>
          </w:tcPr>
          <w:p w14:paraId="6EF4DA18">
            <w:pPr>
              <w:spacing w:line="480" w:lineRule="exact"/>
              <w:jc w:val="center"/>
              <w:rPr>
                <w:rFonts w:ascii="仿宋" w:hAnsi="仿宋" w:eastAsia="仿宋" w:cs="仿宋"/>
                <w:sz w:val="24"/>
                <w:szCs w:val="24"/>
              </w:rPr>
            </w:pPr>
            <w:r>
              <w:rPr>
                <w:rFonts w:hint="eastAsia" w:ascii="仿宋" w:hAnsi="仿宋" w:eastAsia="仿宋" w:cs="仿宋"/>
                <w:sz w:val="24"/>
                <w:szCs w:val="24"/>
              </w:rPr>
              <w:t>价格（30分）</w:t>
            </w:r>
          </w:p>
        </w:tc>
        <w:tc>
          <w:tcPr>
            <w:tcW w:w="1259" w:type="dxa"/>
            <w:tcBorders>
              <w:top w:val="single" w:color="auto" w:sz="4" w:space="0"/>
              <w:left w:val="single" w:color="auto" w:sz="4" w:space="0"/>
              <w:bottom w:val="single" w:color="auto" w:sz="4" w:space="0"/>
              <w:right w:val="single" w:color="auto" w:sz="4" w:space="0"/>
            </w:tcBorders>
            <w:vAlign w:val="center"/>
          </w:tcPr>
          <w:p w14:paraId="34B4378C">
            <w:pPr>
              <w:spacing w:line="480" w:lineRule="exact"/>
              <w:jc w:val="center"/>
              <w:rPr>
                <w:rFonts w:ascii="仿宋" w:hAnsi="仿宋" w:eastAsia="仿宋" w:cs="仿宋"/>
                <w:sz w:val="24"/>
                <w:szCs w:val="24"/>
              </w:rPr>
            </w:pPr>
            <w:r>
              <w:rPr>
                <w:rFonts w:hint="eastAsia" w:ascii="仿宋" w:hAnsi="仿宋" w:eastAsia="仿宋" w:cs="仿宋"/>
                <w:sz w:val="24"/>
                <w:szCs w:val="24"/>
              </w:rPr>
              <w:t>价格评分</w:t>
            </w:r>
          </w:p>
        </w:tc>
        <w:tc>
          <w:tcPr>
            <w:tcW w:w="900" w:type="dxa"/>
            <w:tcBorders>
              <w:top w:val="single" w:color="auto" w:sz="4" w:space="0"/>
              <w:left w:val="single" w:color="auto" w:sz="4" w:space="0"/>
              <w:bottom w:val="single" w:color="auto" w:sz="4" w:space="0"/>
              <w:right w:val="single" w:color="auto" w:sz="4" w:space="0"/>
            </w:tcBorders>
            <w:vAlign w:val="center"/>
          </w:tcPr>
          <w:p w14:paraId="56405F85">
            <w:pPr>
              <w:spacing w:line="480" w:lineRule="exact"/>
              <w:jc w:val="center"/>
              <w:rPr>
                <w:rFonts w:ascii="仿宋" w:hAnsi="仿宋" w:eastAsia="仿宋" w:cs="仿宋"/>
                <w:sz w:val="24"/>
                <w:szCs w:val="24"/>
              </w:rPr>
            </w:pPr>
            <w:r>
              <w:rPr>
                <w:rFonts w:hint="eastAsia" w:ascii="仿宋" w:hAnsi="仿宋" w:eastAsia="仿宋" w:cs="仿宋"/>
                <w:sz w:val="24"/>
                <w:szCs w:val="24"/>
              </w:rPr>
              <w:t>30</w:t>
            </w:r>
          </w:p>
        </w:tc>
        <w:tc>
          <w:tcPr>
            <w:tcW w:w="6391" w:type="dxa"/>
            <w:tcBorders>
              <w:top w:val="single" w:color="auto" w:sz="4" w:space="0"/>
              <w:left w:val="single" w:color="auto" w:sz="4" w:space="0"/>
              <w:bottom w:val="single" w:color="auto" w:sz="4" w:space="0"/>
              <w:right w:val="single" w:color="auto" w:sz="4" w:space="0"/>
            </w:tcBorders>
            <w:vAlign w:val="center"/>
          </w:tcPr>
          <w:p w14:paraId="4CEBDF61">
            <w:pPr>
              <w:pStyle w:val="41"/>
              <w:rPr>
                <w:rFonts w:hint="default" w:ascii="仿宋" w:hAnsi="仿宋" w:eastAsia="仿宋" w:cs="仿宋"/>
                <w:sz w:val="24"/>
                <w:szCs w:val="24"/>
              </w:rPr>
            </w:pPr>
            <w:r>
              <w:rPr>
                <w:rFonts w:ascii="仿宋" w:hAnsi="仿宋" w:eastAsia="仿宋" w:cs="仿宋"/>
                <w:sz w:val="24"/>
                <w:szCs w:val="24"/>
              </w:rPr>
              <w:t>价格分计算方法：</w:t>
            </w:r>
          </w:p>
          <w:p w14:paraId="0DBA6257">
            <w:pPr>
              <w:pStyle w:val="41"/>
              <w:rPr>
                <w:rFonts w:hint="default" w:ascii="仿宋" w:hAnsi="仿宋" w:eastAsia="仿宋" w:cs="仿宋"/>
                <w:sz w:val="24"/>
                <w:szCs w:val="24"/>
              </w:rPr>
            </w:pPr>
            <w:r>
              <w:rPr>
                <w:rFonts w:ascii="仿宋" w:hAnsi="仿宋" w:eastAsia="仿宋" w:cs="仿宋"/>
                <w:sz w:val="24"/>
                <w:szCs w:val="24"/>
              </w:rPr>
              <w:t>1.满足招标要求且投标价格最低的投标报价为评标基准价，其价格分为满分；</w:t>
            </w:r>
          </w:p>
          <w:p w14:paraId="02645171">
            <w:pPr>
              <w:pStyle w:val="41"/>
              <w:rPr>
                <w:rFonts w:hint="default" w:ascii="仿宋" w:hAnsi="仿宋" w:eastAsia="仿宋" w:cs="仿宋"/>
                <w:sz w:val="24"/>
                <w:szCs w:val="24"/>
              </w:rPr>
            </w:pPr>
            <w:r>
              <w:rPr>
                <w:rFonts w:ascii="仿宋" w:hAnsi="仿宋" w:eastAsia="仿宋" w:cs="仿宋"/>
                <w:sz w:val="24"/>
                <w:szCs w:val="24"/>
              </w:rPr>
              <w:t>2.其他投标供应商的价格分统一按照下列公式计算：投标报价得分=(评标基准价／投标报价)×（价格权重30%）×100。</w:t>
            </w:r>
          </w:p>
          <w:p w14:paraId="16BBD5C4">
            <w:pPr>
              <w:pStyle w:val="41"/>
              <w:rPr>
                <w:rFonts w:hint="default" w:ascii="仿宋" w:hAnsi="仿宋" w:eastAsia="仿宋" w:cs="仿宋"/>
                <w:sz w:val="24"/>
                <w:szCs w:val="24"/>
              </w:rPr>
            </w:pPr>
            <w:r>
              <w:rPr>
                <w:rFonts w:ascii="仿宋" w:hAnsi="仿宋" w:eastAsia="仿宋" w:cs="仿宋"/>
                <w:sz w:val="24"/>
                <w:szCs w:val="24"/>
              </w:rPr>
              <w:t>备注：报价超出限价的为无效。</w:t>
            </w:r>
          </w:p>
        </w:tc>
      </w:tr>
      <w:tr w14:paraId="7E78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2DD97508">
            <w:pPr>
              <w:spacing w:line="480" w:lineRule="exact"/>
              <w:jc w:val="center"/>
              <w:rPr>
                <w:rFonts w:ascii="仿宋" w:hAnsi="仿宋" w:eastAsia="仿宋" w:cs="仿宋"/>
                <w:sz w:val="24"/>
                <w:szCs w:val="24"/>
              </w:rPr>
            </w:pPr>
            <w:r>
              <w:rPr>
                <w:rFonts w:hint="eastAsia" w:ascii="仿宋" w:hAnsi="仿宋" w:eastAsia="仿宋" w:cs="仿宋"/>
                <w:sz w:val="24"/>
                <w:szCs w:val="24"/>
              </w:rPr>
              <w:t>2</w:t>
            </w:r>
          </w:p>
        </w:tc>
        <w:tc>
          <w:tcPr>
            <w:tcW w:w="807" w:type="dxa"/>
            <w:vMerge w:val="restart"/>
            <w:tcBorders>
              <w:top w:val="single" w:color="auto" w:sz="4" w:space="0"/>
              <w:left w:val="single" w:color="auto" w:sz="4" w:space="0"/>
              <w:right w:val="single" w:color="auto" w:sz="4" w:space="0"/>
            </w:tcBorders>
            <w:vAlign w:val="center"/>
          </w:tcPr>
          <w:p w14:paraId="3D209113">
            <w:pPr>
              <w:spacing w:line="480" w:lineRule="exact"/>
              <w:jc w:val="center"/>
              <w:rPr>
                <w:rFonts w:ascii="仿宋" w:hAnsi="仿宋" w:eastAsia="仿宋" w:cs="仿宋"/>
                <w:sz w:val="24"/>
                <w:szCs w:val="24"/>
              </w:rPr>
            </w:pPr>
            <w:r>
              <w:rPr>
                <w:rFonts w:hint="eastAsia" w:ascii="仿宋" w:hAnsi="仿宋" w:eastAsia="仿宋" w:cs="仿宋"/>
                <w:sz w:val="24"/>
                <w:szCs w:val="24"/>
              </w:rPr>
              <w:t>技术(40分)</w:t>
            </w:r>
          </w:p>
        </w:tc>
        <w:tc>
          <w:tcPr>
            <w:tcW w:w="1259" w:type="dxa"/>
            <w:tcBorders>
              <w:top w:val="single" w:color="auto" w:sz="4" w:space="0"/>
              <w:left w:val="single" w:color="auto" w:sz="4" w:space="0"/>
              <w:bottom w:val="single" w:color="auto" w:sz="4" w:space="0"/>
              <w:right w:val="single" w:color="auto" w:sz="4" w:space="0"/>
            </w:tcBorders>
            <w:vAlign w:val="center"/>
          </w:tcPr>
          <w:p w14:paraId="3E77207F">
            <w:pPr>
              <w:pStyle w:val="41"/>
              <w:jc w:val="center"/>
              <w:rPr>
                <w:rFonts w:hint="default" w:ascii="仿宋" w:hAnsi="仿宋" w:eastAsia="仿宋" w:cs="仿宋"/>
                <w:sz w:val="24"/>
                <w:szCs w:val="24"/>
              </w:rPr>
            </w:pPr>
            <w:r>
              <w:rPr>
                <w:rFonts w:ascii="仿宋" w:hAnsi="仿宋" w:eastAsia="仿宋" w:cs="仿宋"/>
                <w:sz w:val="24"/>
                <w:szCs w:val="24"/>
              </w:rPr>
              <w:t>响应情况</w:t>
            </w:r>
          </w:p>
        </w:tc>
        <w:tc>
          <w:tcPr>
            <w:tcW w:w="900" w:type="dxa"/>
            <w:tcBorders>
              <w:top w:val="single" w:color="auto" w:sz="4" w:space="0"/>
              <w:left w:val="single" w:color="auto" w:sz="4" w:space="0"/>
              <w:bottom w:val="single" w:color="auto" w:sz="4" w:space="0"/>
              <w:right w:val="single" w:color="auto" w:sz="4" w:space="0"/>
            </w:tcBorders>
            <w:vAlign w:val="center"/>
          </w:tcPr>
          <w:p w14:paraId="15544F1E">
            <w:pPr>
              <w:spacing w:line="480" w:lineRule="exact"/>
              <w:jc w:val="center"/>
              <w:rPr>
                <w:rFonts w:ascii="仿宋" w:hAnsi="仿宋" w:eastAsia="仿宋" w:cs="仿宋"/>
                <w:sz w:val="24"/>
                <w:szCs w:val="24"/>
              </w:rPr>
            </w:pPr>
            <w:r>
              <w:rPr>
                <w:rFonts w:hint="eastAsia" w:ascii="仿宋" w:hAnsi="仿宋" w:eastAsia="仿宋" w:cs="仿宋"/>
                <w:sz w:val="24"/>
                <w:szCs w:val="24"/>
              </w:rPr>
              <w:t>12</w:t>
            </w:r>
          </w:p>
        </w:tc>
        <w:tc>
          <w:tcPr>
            <w:tcW w:w="6391" w:type="dxa"/>
            <w:tcBorders>
              <w:top w:val="single" w:color="auto" w:sz="4" w:space="0"/>
              <w:left w:val="single" w:color="auto" w:sz="4" w:space="0"/>
              <w:bottom w:val="single" w:color="auto" w:sz="4" w:space="0"/>
              <w:right w:val="single" w:color="auto" w:sz="4" w:space="0"/>
            </w:tcBorders>
          </w:tcPr>
          <w:p w14:paraId="39A60787">
            <w:pPr>
              <w:jc w:val="left"/>
              <w:rPr>
                <w:rFonts w:ascii="仿宋" w:hAnsi="仿宋" w:eastAsia="仿宋" w:cs="仿宋"/>
                <w:sz w:val="24"/>
                <w:szCs w:val="24"/>
              </w:rPr>
            </w:pPr>
            <w:r>
              <w:rPr>
                <w:rFonts w:hint="eastAsia" w:ascii="仿宋" w:hAnsi="仿宋" w:eastAsia="仿宋" w:cs="仿宋"/>
                <w:sz w:val="24"/>
                <w:szCs w:val="24"/>
              </w:rPr>
              <w:t>对投标人提供的《服务要求响应情况表》进行考查，在该表中填写</w:t>
            </w:r>
            <w:r>
              <w:rPr>
                <w:rFonts w:hint="eastAsia" w:ascii="仿宋" w:hAnsi="仿宋" w:eastAsia="仿宋" w:cs="仿宋"/>
                <w:color w:val="000000"/>
                <w:sz w:val="24"/>
                <w:szCs w:val="24"/>
              </w:rPr>
              <w:t>投标文件响应的具体内容</w:t>
            </w:r>
            <w:r>
              <w:rPr>
                <w:rFonts w:hint="eastAsia" w:ascii="仿宋" w:hAnsi="仿宋" w:eastAsia="仿宋" w:cs="仿宋"/>
                <w:sz w:val="24"/>
                <w:szCs w:val="24"/>
              </w:rPr>
              <w:t xml:space="preserve">，并依据相关服务要求填写偏离情况，本项目总得分为12分；每出现一项负偏离，则扣减0.5分，直至扣减至0分为止。需注意，若投标文件中任意一项指标或要求应提供相关证明文件却未提供，将视为负偏离。 </w:t>
            </w:r>
          </w:p>
        </w:tc>
      </w:tr>
      <w:tr w14:paraId="589F0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10E3E1C4">
            <w:pPr>
              <w:spacing w:line="480" w:lineRule="exact"/>
              <w:jc w:val="center"/>
              <w:rPr>
                <w:rFonts w:ascii="仿宋" w:hAnsi="仿宋" w:eastAsia="仿宋" w:cs="仿宋"/>
                <w:sz w:val="24"/>
                <w:szCs w:val="24"/>
              </w:rPr>
            </w:pPr>
            <w:r>
              <w:rPr>
                <w:rFonts w:hint="eastAsia" w:ascii="仿宋" w:hAnsi="仿宋" w:eastAsia="仿宋" w:cs="仿宋"/>
                <w:sz w:val="24"/>
                <w:szCs w:val="24"/>
              </w:rPr>
              <w:t>3</w:t>
            </w:r>
          </w:p>
        </w:tc>
        <w:tc>
          <w:tcPr>
            <w:tcW w:w="807" w:type="dxa"/>
            <w:vMerge w:val="continue"/>
            <w:tcBorders>
              <w:left w:val="single" w:color="auto" w:sz="4" w:space="0"/>
              <w:right w:val="single" w:color="auto" w:sz="4" w:space="0"/>
            </w:tcBorders>
            <w:vAlign w:val="center"/>
          </w:tcPr>
          <w:p w14:paraId="4FB75EC1">
            <w:pPr>
              <w:spacing w:line="480" w:lineRule="exact"/>
              <w:jc w:val="center"/>
              <w:rPr>
                <w:rFonts w:ascii="仿宋" w:hAnsi="仿宋" w:eastAsia="仿宋" w:cs="仿宋"/>
                <w:sz w:val="24"/>
                <w:szCs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2EBBE571">
            <w:pPr>
              <w:pStyle w:val="41"/>
              <w:jc w:val="center"/>
              <w:rPr>
                <w:rFonts w:hint="default" w:ascii="仿宋" w:hAnsi="仿宋" w:eastAsia="仿宋" w:cs="仿宋"/>
                <w:sz w:val="24"/>
                <w:szCs w:val="24"/>
              </w:rPr>
            </w:pPr>
            <w:r>
              <w:rPr>
                <w:rFonts w:ascii="仿宋" w:hAnsi="仿宋" w:eastAsia="仿宋" w:cs="仿宋"/>
                <w:sz w:val="24"/>
                <w:szCs w:val="24"/>
              </w:rPr>
              <w:t>项目负责人和技术人员情况</w:t>
            </w:r>
          </w:p>
        </w:tc>
        <w:tc>
          <w:tcPr>
            <w:tcW w:w="900" w:type="dxa"/>
            <w:tcBorders>
              <w:top w:val="single" w:color="auto" w:sz="4" w:space="0"/>
              <w:left w:val="single" w:color="auto" w:sz="4" w:space="0"/>
              <w:bottom w:val="single" w:color="auto" w:sz="4" w:space="0"/>
              <w:right w:val="single" w:color="auto" w:sz="4" w:space="0"/>
            </w:tcBorders>
            <w:vAlign w:val="center"/>
          </w:tcPr>
          <w:p w14:paraId="4A676F71">
            <w:pPr>
              <w:spacing w:line="480" w:lineRule="exact"/>
              <w:jc w:val="center"/>
              <w:rPr>
                <w:rFonts w:ascii="仿宋" w:hAnsi="仿宋" w:eastAsia="仿宋" w:cs="仿宋"/>
                <w:sz w:val="24"/>
                <w:szCs w:val="24"/>
              </w:rPr>
            </w:pPr>
            <w:r>
              <w:rPr>
                <w:rFonts w:hint="eastAsia" w:ascii="仿宋" w:hAnsi="仿宋" w:eastAsia="仿宋" w:cs="仿宋"/>
                <w:sz w:val="24"/>
                <w:szCs w:val="24"/>
              </w:rPr>
              <w:t>28</w:t>
            </w:r>
          </w:p>
        </w:tc>
        <w:tc>
          <w:tcPr>
            <w:tcW w:w="6391" w:type="dxa"/>
            <w:tcBorders>
              <w:top w:val="single" w:color="auto" w:sz="4" w:space="0"/>
              <w:left w:val="single" w:color="auto" w:sz="4" w:space="0"/>
              <w:bottom w:val="single" w:color="auto" w:sz="4" w:space="0"/>
              <w:right w:val="single" w:color="auto" w:sz="4" w:space="0"/>
            </w:tcBorders>
          </w:tcPr>
          <w:p w14:paraId="08967ED0">
            <w:pPr>
              <w:pStyle w:val="41"/>
              <w:rPr>
                <w:rFonts w:hint="default" w:ascii="仿宋" w:hAnsi="仿宋" w:eastAsia="仿宋" w:cs="仿宋"/>
                <w:sz w:val="24"/>
                <w:szCs w:val="24"/>
                <w:lang w:eastAsia="zh-CN"/>
              </w:rPr>
            </w:pPr>
            <w:r>
              <w:rPr>
                <w:rFonts w:ascii="仿宋" w:hAnsi="仿宋" w:eastAsia="仿宋" w:cs="仿宋"/>
                <w:sz w:val="24"/>
                <w:szCs w:val="24"/>
                <w:lang w:eastAsia="zh-CN"/>
              </w:rPr>
              <w:t>1. 项目负责人需持有电气工程或机械工程类的职称证书，其中，初级职称计2分，中级职称计4分，高级职称计8分。</w:t>
            </w:r>
          </w:p>
          <w:p w14:paraId="47F21481">
            <w:pPr>
              <w:pStyle w:val="41"/>
              <w:rPr>
                <w:rFonts w:hint="default" w:ascii="仿宋" w:hAnsi="仿宋" w:eastAsia="仿宋" w:cs="仿宋"/>
                <w:sz w:val="24"/>
                <w:szCs w:val="24"/>
                <w:lang w:eastAsia="zh-CN"/>
              </w:rPr>
            </w:pPr>
            <w:r>
              <w:rPr>
                <w:rFonts w:ascii="仿宋" w:hAnsi="仿宋" w:eastAsia="仿宋" w:cs="仿宋"/>
                <w:sz w:val="24"/>
                <w:szCs w:val="24"/>
                <w:lang w:eastAsia="zh-CN"/>
              </w:rPr>
              <w:t xml:space="preserve">2. 提供10名技术人员持有的电梯安装维修工职业资格证书（或技能等级证书）且职业资格需达到三级（或高级工）及以上。每提供1人的证明材料计2分，满分20分。 </w:t>
            </w:r>
          </w:p>
          <w:p w14:paraId="78FCA592">
            <w:pPr>
              <w:pStyle w:val="41"/>
              <w:rPr>
                <w:rFonts w:hint="default" w:ascii="仿宋" w:hAnsi="仿宋" w:eastAsia="仿宋" w:cs="仿宋"/>
                <w:sz w:val="24"/>
                <w:szCs w:val="24"/>
              </w:rPr>
            </w:pPr>
            <w:r>
              <w:rPr>
                <w:rFonts w:ascii="仿宋" w:hAnsi="仿宋" w:eastAsia="仿宋" w:cs="仿宋"/>
                <w:sz w:val="24"/>
                <w:szCs w:val="24"/>
              </w:rPr>
              <w:t>【注：本项最高得</w:t>
            </w:r>
            <w:r>
              <w:rPr>
                <w:rFonts w:ascii="仿宋" w:hAnsi="仿宋" w:eastAsia="仿宋" w:cs="仿宋"/>
                <w:sz w:val="24"/>
                <w:szCs w:val="24"/>
                <w:lang w:eastAsia="zh-CN"/>
              </w:rPr>
              <w:t>28</w:t>
            </w:r>
            <w:r>
              <w:rPr>
                <w:rFonts w:ascii="仿宋" w:hAnsi="仿宋" w:eastAsia="仿宋" w:cs="仿宋"/>
                <w:sz w:val="24"/>
                <w:szCs w:val="24"/>
              </w:rPr>
              <w:t>分，项目负责人和技术人员不得兼任。①项目负责人、技术人员须提供身份证、职称证书（或资格证）等扫描件；②技术人员中拟选派电梯维保人员须提供承诺函及工作经历证明材料；③投标供应商须同时提交以上人员在投标文件递交截止之日</w:t>
            </w:r>
            <w:r>
              <w:rPr>
                <w:rFonts w:ascii="仿宋" w:hAnsi="仿宋" w:eastAsia="仿宋" w:cs="仿宋"/>
                <w:sz w:val="24"/>
                <w:szCs w:val="24"/>
                <w:lang w:eastAsia="zh-CN"/>
              </w:rPr>
              <w:t>半年</w:t>
            </w:r>
            <w:r>
              <w:rPr>
                <w:rFonts w:ascii="仿宋" w:hAnsi="仿宋" w:eastAsia="仿宋" w:cs="仿宋"/>
                <w:sz w:val="24"/>
                <w:szCs w:val="24"/>
              </w:rPr>
              <w:t>内任意一个月的社保缴纳证明材料扫描件</w:t>
            </w:r>
            <w:r>
              <w:rPr>
                <w:rFonts w:ascii="仿宋" w:hAnsi="仿宋" w:eastAsia="仿宋" w:cs="仿宋"/>
                <w:sz w:val="24"/>
                <w:szCs w:val="24"/>
                <w:lang w:eastAsia="zh-CN"/>
              </w:rPr>
              <w:t>，</w:t>
            </w:r>
            <w:r>
              <w:rPr>
                <w:rFonts w:ascii="仿宋" w:hAnsi="仿宋" w:eastAsia="仿宋" w:cs="仿宋"/>
                <w:sz w:val="24"/>
                <w:szCs w:val="24"/>
              </w:rPr>
              <w:t>否则对应评审项不得分】</w:t>
            </w:r>
          </w:p>
        </w:tc>
      </w:tr>
      <w:tr w14:paraId="606E1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3AB09538">
            <w:pPr>
              <w:spacing w:line="480" w:lineRule="exact"/>
              <w:jc w:val="center"/>
              <w:rPr>
                <w:rFonts w:ascii="仿宋" w:hAnsi="仿宋" w:eastAsia="仿宋" w:cs="仿宋"/>
                <w:color w:val="auto"/>
                <w:sz w:val="24"/>
                <w:szCs w:val="24"/>
              </w:rPr>
            </w:pPr>
            <w:r>
              <w:rPr>
                <w:rFonts w:hint="eastAsia" w:ascii="仿宋" w:hAnsi="仿宋" w:eastAsia="仿宋" w:cs="仿宋"/>
                <w:color w:val="auto"/>
                <w:sz w:val="24"/>
                <w:szCs w:val="24"/>
                <w:lang w:val="en-US" w:eastAsia="zh-CN"/>
              </w:rPr>
              <w:t>4</w:t>
            </w:r>
          </w:p>
        </w:tc>
        <w:tc>
          <w:tcPr>
            <w:tcW w:w="807" w:type="dxa"/>
            <w:vMerge w:val="restart"/>
            <w:tcBorders>
              <w:top w:val="single" w:color="auto" w:sz="4" w:space="0"/>
              <w:left w:val="single" w:color="auto" w:sz="4" w:space="0"/>
              <w:right w:val="single" w:color="auto" w:sz="4" w:space="0"/>
            </w:tcBorders>
            <w:vAlign w:val="center"/>
          </w:tcPr>
          <w:p w14:paraId="63D38F19">
            <w:pPr>
              <w:spacing w:line="480" w:lineRule="exact"/>
              <w:jc w:val="center"/>
              <w:rPr>
                <w:rFonts w:ascii="仿宋" w:hAnsi="仿宋" w:eastAsia="仿宋" w:cs="仿宋"/>
                <w:sz w:val="24"/>
                <w:szCs w:val="24"/>
              </w:rPr>
            </w:pPr>
            <w:r>
              <w:rPr>
                <w:rFonts w:hint="eastAsia" w:ascii="仿宋" w:hAnsi="仿宋" w:eastAsia="仿宋" w:cs="仿宋"/>
                <w:sz w:val="24"/>
                <w:szCs w:val="24"/>
              </w:rPr>
              <w:t>商务(30分）</w:t>
            </w:r>
          </w:p>
        </w:tc>
        <w:tc>
          <w:tcPr>
            <w:tcW w:w="1259" w:type="dxa"/>
            <w:tcBorders>
              <w:top w:val="single" w:color="auto" w:sz="4" w:space="0"/>
              <w:left w:val="single" w:color="auto" w:sz="4" w:space="0"/>
              <w:bottom w:val="single" w:color="auto" w:sz="4" w:space="0"/>
              <w:right w:val="single" w:color="auto" w:sz="4" w:space="0"/>
            </w:tcBorders>
            <w:vAlign w:val="center"/>
          </w:tcPr>
          <w:p w14:paraId="483C1333">
            <w:pPr>
              <w:pStyle w:val="41"/>
              <w:jc w:val="center"/>
              <w:rPr>
                <w:rFonts w:hint="default" w:ascii="仿宋" w:hAnsi="仿宋" w:eastAsia="仿宋" w:cs="仿宋"/>
                <w:sz w:val="24"/>
                <w:szCs w:val="24"/>
              </w:rPr>
            </w:pPr>
            <w:r>
              <w:rPr>
                <w:rFonts w:ascii="仿宋" w:hAnsi="仿宋" w:eastAsia="仿宋" w:cs="仿宋"/>
                <w:sz w:val="24"/>
                <w:szCs w:val="24"/>
              </w:rPr>
              <w:t>维保服务方案</w:t>
            </w:r>
          </w:p>
        </w:tc>
        <w:tc>
          <w:tcPr>
            <w:tcW w:w="900" w:type="dxa"/>
            <w:tcBorders>
              <w:top w:val="single" w:color="auto" w:sz="4" w:space="0"/>
              <w:left w:val="single" w:color="auto" w:sz="4" w:space="0"/>
              <w:bottom w:val="single" w:color="auto" w:sz="4" w:space="0"/>
              <w:right w:val="single" w:color="auto" w:sz="4" w:space="0"/>
            </w:tcBorders>
            <w:vAlign w:val="center"/>
          </w:tcPr>
          <w:p w14:paraId="28BF00F5">
            <w:pPr>
              <w:spacing w:line="480" w:lineRule="exact"/>
              <w:jc w:val="center"/>
              <w:rPr>
                <w:rFonts w:ascii="仿宋" w:hAnsi="仿宋" w:eastAsia="仿宋" w:cs="仿宋"/>
                <w:sz w:val="24"/>
                <w:szCs w:val="24"/>
              </w:rPr>
            </w:pPr>
            <w:r>
              <w:rPr>
                <w:rFonts w:hint="eastAsia" w:ascii="仿宋" w:hAnsi="仿宋" w:eastAsia="仿宋" w:cs="仿宋"/>
                <w:sz w:val="24"/>
                <w:szCs w:val="24"/>
              </w:rPr>
              <w:t>10</w:t>
            </w:r>
          </w:p>
        </w:tc>
        <w:tc>
          <w:tcPr>
            <w:tcW w:w="6391" w:type="dxa"/>
            <w:tcBorders>
              <w:top w:val="single" w:color="auto" w:sz="4" w:space="0"/>
              <w:left w:val="single" w:color="auto" w:sz="4" w:space="0"/>
              <w:bottom w:val="single" w:color="auto" w:sz="4" w:space="0"/>
              <w:right w:val="single" w:color="auto" w:sz="4" w:space="0"/>
            </w:tcBorders>
          </w:tcPr>
          <w:p w14:paraId="31C38414">
            <w:pPr>
              <w:numPr>
                <w:ilvl w:val="-1"/>
                <w:numId w:val="0"/>
              </w:numPr>
              <w:ind w:firstLine="0" w:firstLineChars="0"/>
              <w:rPr>
                <w:rFonts w:hint="default" w:ascii="仿宋" w:hAnsi="仿宋" w:eastAsia="仿宋" w:cs="仿宋"/>
                <w:sz w:val="24"/>
                <w:szCs w:val="24"/>
              </w:rPr>
            </w:pPr>
            <w:r>
              <w:rPr>
                <w:rFonts w:ascii="仿宋" w:hAnsi="仿宋" w:eastAsia="仿宋" w:cs="仿宋"/>
                <w:sz w:val="24"/>
                <w:szCs w:val="24"/>
              </w:rPr>
              <w:t>根据需求书提供维保服务方案：</w:t>
            </w:r>
            <w:r>
              <w:rPr>
                <w:rFonts w:hint="eastAsia" w:ascii="仿宋" w:hAnsi="仿宋" w:eastAsia="仿宋" w:cs="仿宋"/>
                <w:sz w:val="24"/>
                <w:szCs w:val="24"/>
                <w:lang w:val="en-US" w:eastAsia="zh-CN"/>
              </w:rPr>
              <w:t>方</w:t>
            </w:r>
            <w:r>
              <w:rPr>
                <w:rFonts w:hint="eastAsia" w:ascii="仿宋" w:hAnsi="仿宋" w:eastAsia="仿宋" w:cs="仿宋"/>
                <w:color w:val="auto"/>
                <w:sz w:val="24"/>
                <w:szCs w:val="24"/>
                <w:highlight w:val="none"/>
                <w:lang w:val="en-US" w:eastAsia="zh-CN"/>
              </w:rPr>
              <w:t>案完整详细，专业性、可行性强，满足或优于项目需求的</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；方案基本完整，专业可行，基本满足项目需求的得5分</w:t>
            </w:r>
            <w:r>
              <w:rPr>
                <w:rFonts w:ascii="仿宋" w:hAnsi="仿宋" w:eastAsia="仿宋" w:cs="仿宋"/>
                <w:sz w:val="24"/>
                <w:szCs w:val="24"/>
              </w:rPr>
              <w:t>；</w:t>
            </w:r>
            <w:r>
              <w:rPr>
                <w:rFonts w:hint="eastAsia" w:ascii="仿宋" w:hAnsi="仿宋" w:eastAsia="仿宋" w:cs="仿宋"/>
                <w:color w:val="auto"/>
                <w:sz w:val="24"/>
                <w:szCs w:val="24"/>
                <w:highlight w:val="none"/>
                <w:lang w:val="en-US" w:eastAsia="zh-CN"/>
              </w:rPr>
              <w:t>方案不细致，专业性、可行性低，与项目需求响应度低的得1分</w:t>
            </w:r>
            <w:r>
              <w:rPr>
                <w:rFonts w:ascii="仿宋" w:hAnsi="仿宋" w:eastAsia="仿宋" w:cs="仿宋"/>
                <w:sz w:val="24"/>
                <w:szCs w:val="24"/>
              </w:rPr>
              <w:t>；未提供或其他，得0分。</w:t>
            </w:r>
          </w:p>
        </w:tc>
      </w:tr>
      <w:tr w14:paraId="2A955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30E51FCD">
            <w:pPr>
              <w:spacing w:line="480" w:lineRule="exact"/>
              <w:jc w:val="center"/>
              <w:rPr>
                <w:rFonts w:ascii="仿宋" w:hAnsi="仿宋" w:eastAsia="仿宋" w:cs="仿宋"/>
                <w:color w:val="auto"/>
                <w:sz w:val="24"/>
                <w:szCs w:val="24"/>
              </w:rPr>
            </w:pPr>
            <w:r>
              <w:rPr>
                <w:rFonts w:hint="eastAsia" w:ascii="仿宋" w:hAnsi="仿宋" w:eastAsia="仿宋" w:cs="仿宋"/>
                <w:color w:val="auto"/>
                <w:sz w:val="24"/>
                <w:szCs w:val="24"/>
                <w:lang w:val="en-US" w:eastAsia="zh-CN"/>
              </w:rPr>
              <w:t>5</w:t>
            </w:r>
          </w:p>
        </w:tc>
        <w:tc>
          <w:tcPr>
            <w:tcW w:w="807" w:type="dxa"/>
            <w:vMerge w:val="continue"/>
            <w:tcBorders>
              <w:left w:val="single" w:color="auto" w:sz="4" w:space="0"/>
              <w:right w:val="single" w:color="auto" w:sz="4" w:space="0"/>
            </w:tcBorders>
            <w:vAlign w:val="center"/>
          </w:tcPr>
          <w:p w14:paraId="2350949E">
            <w:pPr>
              <w:spacing w:line="480" w:lineRule="exact"/>
              <w:jc w:val="center"/>
              <w:rPr>
                <w:rFonts w:ascii="仿宋" w:hAnsi="仿宋" w:eastAsia="仿宋" w:cs="仿宋"/>
                <w:sz w:val="24"/>
                <w:szCs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762384A4">
            <w:pPr>
              <w:pStyle w:val="41"/>
              <w:jc w:val="center"/>
              <w:rPr>
                <w:rFonts w:hint="default" w:ascii="仿宋" w:hAnsi="仿宋" w:eastAsia="仿宋" w:cs="仿宋"/>
                <w:sz w:val="24"/>
                <w:szCs w:val="24"/>
              </w:rPr>
            </w:pPr>
            <w:r>
              <w:rPr>
                <w:rFonts w:ascii="仿宋" w:hAnsi="仿宋" w:eastAsia="仿宋" w:cs="仿宋"/>
                <w:sz w:val="24"/>
                <w:szCs w:val="24"/>
              </w:rPr>
              <w:t>维保业绩</w:t>
            </w:r>
          </w:p>
        </w:tc>
        <w:tc>
          <w:tcPr>
            <w:tcW w:w="900" w:type="dxa"/>
            <w:tcBorders>
              <w:top w:val="single" w:color="auto" w:sz="4" w:space="0"/>
              <w:left w:val="single" w:color="auto" w:sz="4" w:space="0"/>
              <w:bottom w:val="single" w:color="auto" w:sz="4" w:space="0"/>
              <w:right w:val="single" w:color="auto" w:sz="4" w:space="0"/>
            </w:tcBorders>
            <w:vAlign w:val="center"/>
          </w:tcPr>
          <w:p w14:paraId="6B7AB6AA">
            <w:pPr>
              <w:spacing w:line="480" w:lineRule="exact"/>
              <w:jc w:val="center"/>
              <w:rPr>
                <w:rFonts w:ascii="仿宋" w:hAnsi="仿宋" w:eastAsia="仿宋" w:cs="仿宋"/>
                <w:sz w:val="24"/>
                <w:szCs w:val="24"/>
              </w:rPr>
            </w:pPr>
            <w:r>
              <w:rPr>
                <w:rFonts w:hint="eastAsia" w:ascii="仿宋" w:hAnsi="仿宋" w:eastAsia="仿宋" w:cs="仿宋"/>
                <w:sz w:val="24"/>
                <w:szCs w:val="24"/>
              </w:rPr>
              <w:t>10</w:t>
            </w:r>
          </w:p>
        </w:tc>
        <w:tc>
          <w:tcPr>
            <w:tcW w:w="6391" w:type="dxa"/>
            <w:tcBorders>
              <w:top w:val="single" w:color="auto" w:sz="4" w:space="0"/>
              <w:left w:val="single" w:color="auto" w:sz="4" w:space="0"/>
              <w:bottom w:val="single" w:color="auto" w:sz="4" w:space="0"/>
              <w:right w:val="single" w:color="auto" w:sz="4" w:space="0"/>
            </w:tcBorders>
          </w:tcPr>
          <w:p w14:paraId="56E2852B">
            <w:pPr>
              <w:pStyle w:val="41"/>
              <w:rPr>
                <w:rFonts w:hint="default" w:ascii="仿宋" w:hAnsi="仿宋" w:eastAsia="仿宋" w:cs="仿宋"/>
                <w:sz w:val="24"/>
                <w:szCs w:val="24"/>
              </w:rPr>
            </w:pPr>
            <w:r>
              <w:rPr>
                <w:rFonts w:ascii="仿宋" w:hAnsi="仿宋" w:eastAsia="仿宋" w:cs="仿宋"/>
                <w:sz w:val="24"/>
                <w:szCs w:val="24"/>
              </w:rPr>
              <w:t>投标供应商自202</w:t>
            </w:r>
            <w:r>
              <w:rPr>
                <w:rFonts w:ascii="仿宋" w:hAnsi="仿宋" w:eastAsia="仿宋" w:cs="仿宋"/>
                <w:sz w:val="24"/>
                <w:szCs w:val="24"/>
                <w:lang w:eastAsia="zh-CN"/>
              </w:rPr>
              <w:t>2</w:t>
            </w:r>
            <w:r>
              <w:rPr>
                <w:rFonts w:ascii="仿宋" w:hAnsi="仿宋" w:eastAsia="仿宋" w:cs="仿宋"/>
                <w:sz w:val="24"/>
                <w:szCs w:val="24"/>
              </w:rPr>
              <w:t>年以来（以合同签订时间为准）取得的已完成或在保的非住宅电梯维保项目，每提供一份符合要求的有效业绩得</w:t>
            </w:r>
            <w:r>
              <w:rPr>
                <w:rFonts w:ascii="仿宋" w:hAnsi="仿宋" w:eastAsia="仿宋" w:cs="仿宋"/>
                <w:sz w:val="24"/>
                <w:szCs w:val="24"/>
                <w:lang w:eastAsia="zh-CN"/>
              </w:rPr>
              <w:t>2</w:t>
            </w:r>
            <w:r>
              <w:rPr>
                <w:rFonts w:ascii="仿宋" w:hAnsi="仿宋" w:eastAsia="仿宋" w:cs="仿宋"/>
                <w:sz w:val="24"/>
                <w:szCs w:val="24"/>
              </w:rPr>
              <w:t>分，满分为1</w:t>
            </w:r>
            <w:r>
              <w:rPr>
                <w:rFonts w:ascii="仿宋" w:hAnsi="仿宋" w:eastAsia="仿宋" w:cs="仿宋"/>
                <w:sz w:val="24"/>
                <w:szCs w:val="24"/>
                <w:lang w:eastAsia="zh-CN"/>
              </w:rPr>
              <w:t>0</w:t>
            </w:r>
            <w:r>
              <w:rPr>
                <w:rFonts w:ascii="仿宋" w:hAnsi="仿宋" w:eastAsia="仿宋" w:cs="仿宋"/>
                <w:sz w:val="24"/>
                <w:szCs w:val="24"/>
              </w:rPr>
              <w:t>分。不符合条件的不得分。业绩证明材料如下：</w:t>
            </w:r>
            <w:r>
              <w:rPr>
                <w:rFonts w:ascii="仿宋" w:hAnsi="仿宋" w:eastAsia="仿宋" w:cs="仿宋"/>
                <w:sz w:val="24"/>
                <w:szCs w:val="24"/>
                <w:lang w:eastAsia="zh-CN"/>
              </w:rPr>
              <w:t>1.</w:t>
            </w:r>
            <w:r>
              <w:rPr>
                <w:rFonts w:ascii="仿宋" w:hAnsi="仿宋" w:eastAsia="仿宋" w:cs="仿宋"/>
                <w:sz w:val="24"/>
                <w:szCs w:val="24"/>
              </w:rPr>
              <w:t>合同关键页复印件（首页、盖章页）；</w:t>
            </w:r>
            <w:r>
              <w:rPr>
                <w:rFonts w:ascii="仿宋" w:hAnsi="仿宋" w:eastAsia="仿宋" w:cs="仿宋"/>
                <w:sz w:val="24"/>
                <w:szCs w:val="24"/>
                <w:lang w:eastAsia="zh-CN"/>
              </w:rPr>
              <w:t>2.</w:t>
            </w:r>
            <w:r>
              <w:rPr>
                <w:rFonts w:ascii="仿宋" w:hAnsi="仿宋" w:eastAsia="仿宋" w:cs="仿宋"/>
                <w:sz w:val="24"/>
                <w:szCs w:val="24"/>
              </w:rPr>
              <w:t>项目中任一台电梯定期检验报告关键页复印件（带二维码首页、检验结论合格关键页）；【注：①同一有效业绩只计算一次得分，同一项目续签不重复计分；②若多个项目合同为同一甲方单位的，只计算为一个项目证明材料计算得分；③如提供上述业绩证明材料有欠缺、模糊或不符合要求等，均视为无效材料不得分】</w:t>
            </w:r>
          </w:p>
        </w:tc>
      </w:tr>
      <w:tr w14:paraId="35FD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0C50E858">
            <w:pPr>
              <w:spacing w:line="480" w:lineRule="exact"/>
              <w:jc w:val="center"/>
              <w:rPr>
                <w:rFonts w:ascii="仿宋" w:hAnsi="仿宋" w:eastAsia="仿宋" w:cs="仿宋"/>
                <w:color w:val="auto"/>
                <w:sz w:val="24"/>
                <w:szCs w:val="24"/>
              </w:rPr>
            </w:pPr>
            <w:r>
              <w:rPr>
                <w:rFonts w:hint="eastAsia" w:ascii="仿宋" w:hAnsi="仿宋" w:eastAsia="仿宋" w:cs="仿宋"/>
                <w:color w:val="auto"/>
                <w:sz w:val="24"/>
                <w:szCs w:val="24"/>
                <w:lang w:val="en-US" w:eastAsia="zh-CN"/>
              </w:rPr>
              <w:t>6</w:t>
            </w:r>
          </w:p>
        </w:tc>
        <w:tc>
          <w:tcPr>
            <w:tcW w:w="807" w:type="dxa"/>
            <w:vMerge w:val="continue"/>
            <w:tcBorders>
              <w:left w:val="single" w:color="auto" w:sz="4" w:space="0"/>
              <w:right w:val="single" w:color="auto" w:sz="4" w:space="0"/>
            </w:tcBorders>
            <w:vAlign w:val="center"/>
          </w:tcPr>
          <w:p w14:paraId="16D6BD7E">
            <w:pPr>
              <w:spacing w:line="480" w:lineRule="exact"/>
              <w:jc w:val="center"/>
              <w:rPr>
                <w:rFonts w:ascii="仿宋" w:hAnsi="仿宋" w:eastAsia="仿宋" w:cs="仿宋"/>
                <w:sz w:val="24"/>
                <w:szCs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50E21054">
            <w:pPr>
              <w:pStyle w:val="41"/>
              <w:jc w:val="center"/>
              <w:rPr>
                <w:rFonts w:hint="default" w:ascii="仿宋" w:hAnsi="仿宋" w:eastAsia="仿宋" w:cs="仿宋"/>
                <w:sz w:val="24"/>
                <w:szCs w:val="24"/>
              </w:rPr>
            </w:pPr>
            <w:r>
              <w:rPr>
                <w:rFonts w:ascii="仿宋" w:hAnsi="仿宋" w:eastAsia="仿宋" w:cs="仿宋"/>
                <w:sz w:val="24"/>
                <w:szCs w:val="24"/>
                <w:lang w:eastAsia="zh-CN"/>
              </w:rPr>
              <w:t>资质</w:t>
            </w:r>
            <w:r>
              <w:rPr>
                <w:rFonts w:ascii="仿宋" w:hAnsi="仿宋" w:eastAsia="仿宋" w:cs="仿宋"/>
                <w:sz w:val="24"/>
                <w:szCs w:val="24"/>
              </w:rPr>
              <w:t>评价</w:t>
            </w:r>
          </w:p>
        </w:tc>
        <w:tc>
          <w:tcPr>
            <w:tcW w:w="900" w:type="dxa"/>
            <w:tcBorders>
              <w:top w:val="single" w:color="auto" w:sz="4" w:space="0"/>
              <w:left w:val="single" w:color="auto" w:sz="4" w:space="0"/>
              <w:bottom w:val="single" w:color="auto" w:sz="4" w:space="0"/>
              <w:right w:val="single" w:color="auto" w:sz="4" w:space="0"/>
            </w:tcBorders>
            <w:vAlign w:val="center"/>
          </w:tcPr>
          <w:p w14:paraId="6CF7572E">
            <w:pPr>
              <w:spacing w:line="480" w:lineRule="exact"/>
              <w:jc w:val="center"/>
              <w:rPr>
                <w:rFonts w:ascii="仿宋" w:hAnsi="仿宋" w:eastAsia="仿宋" w:cs="仿宋"/>
                <w:sz w:val="24"/>
                <w:szCs w:val="24"/>
              </w:rPr>
            </w:pPr>
            <w:r>
              <w:rPr>
                <w:rFonts w:hint="eastAsia" w:ascii="仿宋" w:hAnsi="仿宋" w:eastAsia="仿宋" w:cs="仿宋"/>
                <w:sz w:val="24"/>
                <w:szCs w:val="24"/>
              </w:rPr>
              <w:t>10</w:t>
            </w:r>
          </w:p>
        </w:tc>
        <w:tc>
          <w:tcPr>
            <w:tcW w:w="6391" w:type="dxa"/>
            <w:tcBorders>
              <w:top w:val="single" w:color="auto" w:sz="4" w:space="0"/>
              <w:left w:val="single" w:color="auto" w:sz="4" w:space="0"/>
              <w:bottom w:val="single" w:color="auto" w:sz="4" w:space="0"/>
              <w:right w:val="single" w:color="auto" w:sz="4" w:space="0"/>
            </w:tcBorders>
          </w:tcPr>
          <w:p w14:paraId="63EC0B2D">
            <w:pPr>
              <w:pStyle w:val="41"/>
              <w:rPr>
                <w:rFonts w:hint="default" w:ascii="仿宋" w:hAnsi="仿宋" w:eastAsia="仿宋" w:cs="仿宋"/>
                <w:sz w:val="24"/>
                <w:szCs w:val="24"/>
                <w:lang w:eastAsia="zh-CN"/>
              </w:rPr>
            </w:pPr>
            <w:r>
              <w:rPr>
                <w:rFonts w:ascii="仿宋" w:hAnsi="仿宋" w:eastAsia="仿宋" w:cs="仿宋"/>
                <w:sz w:val="24"/>
                <w:szCs w:val="24"/>
                <w:lang w:eastAsia="zh-CN"/>
              </w:rPr>
              <w:t xml:space="preserve">投标人应提供中华人民共和国特种设备生产许可证，若许可项目级别达到A类资质，得10分；达到B类资质，得6分；达到C类资质，得2分。投标人需提供该许可证的复印件并加盖公章，若未提供或不符合上述要求，得0分。 </w:t>
            </w:r>
          </w:p>
        </w:tc>
      </w:tr>
    </w:tbl>
    <w:p w14:paraId="01978C5D">
      <w:pPr>
        <w:widowControl/>
        <w:jc w:val="left"/>
        <w:rPr>
          <w:rFonts w:ascii="仿宋" w:hAnsi="仿宋" w:eastAsia="仿宋" w:cs="仿宋"/>
          <w:color w:val="FF0000"/>
          <w:szCs w:val="30"/>
        </w:rPr>
      </w:pPr>
    </w:p>
    <w:p w14:paraId="5EA29C80">
      <w:pPr>
        <w:widowControl/>
        <w:jc w:val="left"/>
        <w:rPr>
          <w:rFonts w:ascii="仿宋" w:hAnsi="仿宋" w:eastAsia="仿宋" w:cs="仿宋"/>
          <w:b/>
          <w:bCs/>
          <w:szCs w:val="30"/>
        </w:rPr>
      </w:pPr>
      <w:r>
        <w:rPr>
          <w:rFonts w:ascii="仿宋" w:hAnsi="仿宋" w:eastAsia="仿宋" w:cs="仿宋"/>
          <w:b/>
          <w:bCs/>
          <w:szCs w:val="30"/>
        </w:rPr>
        <w:br w:type="page"/>
      </w:r>
    </w:p>
    <w:p w14:paraId="5D3FCE22">
      <w:pPr>
        <w:widowControl/>
        <w:jc w:val="center"/>
        <w:rPr>
          <w:rFonts w:ascii="仿宋" w:hAnsi="仿宋" w:eastAsia="仿宋" w:cs="仿宋"/>
          <w:b/>
          <w:bCs/>
          <w:szCs w:val="30"/>
        </w:rPr>
      </w:pPr>
      <w:r>
        <w:rPr>
          <w:rFonts w:hint="eastAsia" w:ascii="仿宋" w:hAnsi="仿宋" w:eastAsia="仿宋" w:cs="仿宋"/>
          <w:b/>
          <w:bCs/>
          <w:szCs w:val="30"/>
        </w:rPr>
        <w:t>第三章响应文件资料组成及相关要求</w:t>
      </w:r>
    </w:p>
    <w:p w14:paraId="3395E22E">
      <w:pPr>
        <w:widowControl/>
        <w:spacing w:line="360" w:lineRule="auto"/>
        <w:ind w:firstLine="588" w:firstLineChars="196"/>
        <w:jc w:val="left"/>
        <w:rPr>
          <w:rFonts w:ascii="仿宋" w:hAnsi="仿宋" w:eastAsia="仿宋" w:cs="仿宋"/>
          <w:bCs/>
          <w:kern w:val="0"/>
          <w:szCs w:val="30"/>
        </w:rPr>
      </w:pPr>
      <w:r>
        <w:rPr>
          <w:rFonts w:hint="eastAsia" w:ascii="仿宋" w:hAnsi="仿宋" w:eastAsia="仿宋" w:cs="仿宋"/>
          <w:bCs/>
          <w:kern w:val="0"/>
          <w:szCs w:val="30"/>
        </w:rPr>
        <w:t>1.封面（注明参与投标项目名称、单位、联系人、联系电话、正本或副本等信息）加盖公章，贴在密封袋面和投标文件封面（详见附件1）</w:t>
      </w:r>
    </w:p>
    <w:p w14:paraId="7F5EB282">
      <w:pPr>
        <w:widowControl/>
        <w:spacing w:line="360" w:lineRule="auto"/>
        <w:ind w:firstLine="588" w:firstLineChars="196"/>
        <w:jc w:val="left"/>
        <w:rPr>
          <w:rFonts w:ascii="仿宋" w:hAnsi="仿宋" w:eastAsia="仿宋" w:cs="仿宋"/>
          <w:bCs/>
          <w:kern w:val="0"/>
          <w:szCs w:val="30"/>
        </w:rPr>
      </w:pPr>
      <w:r>
        <w:rPr>
          <w:rFonts w:hint="eastAsia" w:ascii="仿宋" w:hAnsi="仿宋" w:eastAsia="仿宋" w:cs="仿宋"/>
          <w:bCs/>
          <w:kern w:val="0"/>
          <w:szCs w:val="30"/>
        </w:rPr>
        <w:t>2.投标资质证明文件</w:t>
      </w:r>
    </w:p>
    <w:p w14:paraId="6FACBF05">
      <w:pPr>
        <w:widowControl/>
        <w:spacing w:line="360" w:lineRule="auto"/>
        <w:ind w:firstLine="588" w:firstLineChars="196"/>
        <w:jc w:val="left"/>
        <w:rPr>
          <w:rFonts w:ascii="仿宋" w:hAnsi="仿宋" w:eastAsia="仿宋" w:cs="仿宋"/>
          <w:bCs/>
          <w:kern w:val="0"/>
          <w:szCs w:val="30"/>
        </w:rPr>
      </w:pPr>
      <w:r>
        <w:rPr>
          <w:rFonts w:hint="eastAsia" w:ascii="仿宋" w:hAnsi="仿宋" w:eastAsia="仿宋" w:cs="仿宋"/>
          <w:bCs/>
          <w:kern w:val="0"/>
          <w:szCs w:val="30"/>
        </w:rPr>
        <w:t>①投标供应商资格声明函（详见附件2）</w:t>
      </w:r>
    </w:p>
    <w:p w14:paraId="63C73F1F">
      <w:pPr>
        <w:widowControl/>
        <w:spacing w:line="360" w:lineRule="auto"/>
        <w:ind w:firstLine="588" w:firstLineChars="196"/>
        <w:jc w:val="left"/>
        <w:rPr>
          <w:rFonts w:ascii="仿宋" w:hAnsi="仿宋" w:eastAsia="仿宋" w:cs="仿宋"/>
          <w:bCs/>
          <w:kern w:val="0"/>
          <w:szCs w:val="30"/>
        </w:rPr>
      </w:pPr>
      <w:r>
        <w:rPr>
          <w:rFonts w:hint="eastAsia" w:ascii="仿宋" w:hAnsi="仿宋" w:eastAsia="仿宋" w:cs="仿宋"/>
          <w:bCs/>
          <w:kern w:val="0"/>
          <w:szCs w:val="30"/>
        </w:rPr>
        <w:t>②无重大违法记录声明函（详见附件3）</w:t>
      </w:r>
    </w:p>
    <w:p w14:paraId="26D44995">
      <w:pPr>
        <w:widowControl/>
        <w:spacing w:line="360" w:lineRule="auto"/>
        <w:ind w:firstLine="588" w:firstLineChars="196"/>
        <w:jc w:val="left"/>
        <w:rPr>
          <w:rFonts w:ascii="仿宋" w:hAnsi="仿宋" w:eastAsia="仿宋" w:cs="仿宋"/>
          <w:bCs/>
          <w:kern w:val="0"/>
          <w:szCs w:val="30"/>
        </w:rPr>
      </w:pPr>
      <w:r>
        <w:rPr>
          <w:rFonts w:hint="eastAsia" w:ascii="仿宋" w:hAnsi="仿宋" w:eastAsia="仿宋" w:cs="仿宋"/>
          <w:bCs/>
          <w:kern w:val="0"/>
          <w:szCs w:val="30"/>
        </w:rPr>
        <w:t>③有效的营业执照（或事业法人登记证或身份证等相关证明）复印件</w:t>
      </w:r>
    </w:p>
    <w:p w14:paraId="71D28C1E">
      <w:pPr>
        <w:widowControl/>
        <w:spacing w:line="360" w:lineRule="auto"/>
        <w:ind w:firstLine="588" w:firstLineChars="196"/>
        <w:jc w:val="left"/>
        <w:rPr>
          <w:rFonts w:ascii="仿宋" w:hAnsi="仿宋" w:eastAsia="仿宋" w:cs="仿宋"/>
          <w:bCs/>
          <w:kern w:val="0"/>
          <w:szCs w:val="30"/>
        </w:rPr>
      </w:pPr>
      <w:r>
        <w:rPr>
          <w:rFonts w:hint="eastAsia" w:ascii="仿宋" w:hAnsi="仿宋" w:eastAsia="仿宋" w:cs="仿宋"/>
          <w:bCs/>
          <w:kern w:val="0"/>
          <w:szCs w:val="30"/>
        </w:rPr>
        <w:t>④法定代表人（或经营者）身份证复印件</w:t>
      </w:r>
    </w:p>
    <w:p w14:paraId="358D190F">
      <w:pPr>
        <w:widowControl/>
        <w:spacing w:line="360" w:lineRule="auto"/>
        <w:ind w:firstLine="588" w:firstLineChars="196"/>
        <w:jc w:val="left"/>
        <w:rPr>
          <w:rFonts w:hint="eastAsia" w:ascii="仿宋" w:hAnsi="仿宋" w:eastAsia="仿宋" w:cs="仿宋"/>
          <w:bCs/>
          <w:kern w:val="0"/>
          <w:szCs w:val="30"/>
        </w:rPr>
      </w:pPr>
      <w:r>
        <w:rPr>
          <w:rFonts w:hint="eastAsia" w:ascii="仿宋" w:hAnsi="仿宋" w:eastAsia="仿宋" w:cs="仿宋"/>
          <w:bCs/>
          <w:kern w:val="0"/>
          <w:szCs w:val="30"/>
        </w:rPr>
        <w:t>3.服务承诺书包括供货时效、送货服务、产品质量服务、售后服务等（详见附件4）</w:t>
      </w:r>
    </w:p>
    <w:p w14:paraId="39962719">
      <w:pPr>
        <w:widowControl/>
        <w:spacing w:line="360" w:lineRule="auto"/>
        <w:ind w:firstLine="588" w:firstLineChars="196"/>
        <w:jc w:val="left"/>
        <w:rPr>
          <w:rFonts w:hint="default" w:ascii="仿宋" w:hAnsi="仿宋" w:eastAsia="仿宋" w:cs="仿宋"/>
          <w:bCs/>
          <w:kern w:val="0"/>
          <w:szCs w:val="30"/>
          <w:lang w:val="en-US" w:eastAsia="zh-CN"/>
        </w:rPr>
      </w:pPr>
      <w:r>
        <w:rPr>
          <w:rFonts w:hint="eastAsia" w:ascii="仿宋" w:hAnsi="仿宋" w:eastAsia="仿宋" w:cs="仿宋"/>
          <w:bCs/>
          <w:kern w:val="0"/>
          <w:szCs w:val="30"/>
          <w:lang w:val="en-US" w:eastAsia="zh-CN"/>
        </w:rPr>
        <w:t>4.维保服务方案</w:t>
      </w:r>
    </w:p>
    <w:p w14:paraId="1227F58E">
      <w:pPr>
        <w:widowControl/>
        <w:spacing w:line="360" w:lineRule="auto"/>
        <w:ind w:firstLine="588" w:firstLineChars="196"/>
        <w:jc w:val="left"/>
        <w:rPr>
          <w:rFonts w:ascii="仿宋" w:hAnsi="仿宋" w:eastAsia="仿宋" w:cs="仿宋"/>
          <w:bCs/>
          <w:kern w:val="0"/>
          <w:szCs w:val="30"/>
        </w:rPr>
      </w:pPr>
      <w:r>
        <w:rPr>
          <w:rFonts w:hint="eastAsia" w:ascii="仿宋" w:hAnsi="仿宋" w:eastAsia="仿宋" w:cs="仿宋"/>
          <w:bCs/>
          <w:kern w:val="0"/>
          <w:szCs w:val="30"/>
          <w:lang w:val="en-US" w:eastAsia="zh-CN"/>
        </w:rPr>
        <w:t>5</w:t>
      </w:r>
      <w:r>
        <w:rPr>
          <w:rFonts w:hint="eastAsia" w:ascii="仿宋" w:hAnsi="仿宋" w:eastAsia="仿宋" w:cs="仿宋"/>
          <w:bCs/>
          <w:kern w:val="0"/>
          <w:szCs w:val="30"/>
        </w:rPr>
        <w:t>.项目报价表（详见附件5）</w:t>
      </w:r>
    </w:p>
    <w:p w14:paraId="17D2B54F">
      <w:pPr>
        <w:widowControl/>
        <w:spacing w:line="360" w:lineRule="auto"/>
        <w:ind w:firstLine="588" w:firstLineChars="196"/>
        <w:jc w:val="left"/>
        <w:rPr>
          <w:rFonts w:hint="eastAsia" w:ascii="仿宋" w:hAnsi="仿宋" w:eastAsia="仿宋" w:cs="仿宋"/>
          <w:bCs/>
          <w:kern w:val="0"/>
          <w:szCs w:val="30"/>
        </w:rPr>
      </w:pPr>
      <w:r>
        <w:rPr>
          <w:rFonts w:hint="eastAsia" w:ascii="仿宋" w:hAnsi="仿宋" w:eastAsia="仿宋" w:cs="仿宋"/>
          <w:bCs/>
          <w:kern w:val="0"/>
          <w:szCs w:val="30"/>
          <w:lang w:val="en-US" w:eastAsia="zh-CN"/>
        </w:rPr>
        <w:t>6</w:t>
      </w:r>
      <w:r>
        <w:rPr>
          <w:rFonts w:hint="eastAsia" w:ascii="仿宋" w:hAnsi="仿宋" w:eastAsia="仿宋" w:cs="仿宋"/>
          <w:bCs/>
          <w:kern w:val="0"/>
          <w:szCs w:val="30"/>
        </w:rPr>
        <w:t>.服务要求响应表（详见附件6）</w:t>
      </w:r>
    </w:p>
    <w:p w14:paraId="046C6317">
      <w:pPr>
        <w:widowControl/>
        <w:spacing w:line="360" w:lineRule="auto"/>
        <w:ind w:firstLine="588" w:firstLineChars="196"/>
        <w:jc w:val="left"/>
        <w:rPr>
          <w:rFonts w:hint="default" w:ascii="仿宋" w:hAnsi="仿宋" w:eastAsia="仿宋" w:cs="仿宋"/>
          <w:bCs/>
          <w:kern w:val="0"/>
          <w:szCs w:val="30"/>
          <w:lang w:val="en-US" w:eastAsia="zh-CN"/>
        </w:rPr>
      </w:pPr>
      <w:r>
        <w:rPr>
          <w:rFonts w:hint="eastAsia" w:ascii="仿宋" w:hAnsi="仿宋" w:eastAsia="仿宋" w:cs="仿宋"/>
          <w:bCs/>
          <w:kern w:val="0"/>
          <w:szCs w:val="30"/>
          <w:lang w:val="en-US" w:eastAsia="zh-CN"/>
        </w:rPr>
        <w:t>7.招标文件中所需提供的证明材料</w:t>
      </w:r>
    </w:p>
    <w:p w14:paraId="4F9F7520">
      <w:pPr>
        <w:widowControl/>
        <w:spacing w:line="360" w:lineRule="auto"/>
        <w:ind w:firstLine="588" w:firstLineChars="196"/>
        <w:jc w:val="left"/>
        <w:rPr>
          <w:rFonts w:ascii="仿宋" w:hAnsi="仿宋" w:eastAsia="仿宋" w:cs="仿宋"/>
          <w:bCs/>
          <w:kern w:val="0"/>
          <w:szCs w:val="30"/>
        </w:rPr>
      </w:pPr>
      <w:r>
        <w:rPr>
          <w:rFonts w:hint="eastAsia" w:ascii="仿宋" w:hAnsi="仿宋" w:eastAsia="仿宋" w:cs="仿宋"/>
          <w:bCs/>
          <w:kern w:val="0"/>
          <w:szCs w:val="30"/>
        </w:rPr>
        <w:t>响应文件所有材料加盖公章，一正本两副本，三份各自独立密封，在封面显著位置清楚标明“正本”或“副本”字样。如正本和副本内容不一致以正本书面文件为准。A4纸规格，加盖公章，顺序装订。密封文件袋须用封条密封加盖公章。</w:t>
      </w:r>
    </w:p>
    <w:p w14:paraId="5CCD4D25">
      <w:pPr>
        <w:widowControl/>
        <w:spacing w:line="360" w:lineRule="auto"/>
        <w:ind w:firstLine="588" w:firstLineChars="196"/>
        <w:jc w:val="left"/>
        <w:rPr>
          <w:rFonts w:ascii="仿宋" w:hAnsi="仿宋" w:eastAsia="仿宋" w:cs="仿宋"/>
          <w:bCs/>
          <w:kern w:val="0"/>
          <w:szCs w:val="30"/>
        </w:rPr>
      </w:pPr>
      <w:r>
        <w:rPr>
          <w:rFonts w:hint="eastAsia" w:ascii="仿宋" w:hAnsi="仿宋" w:eastAsia="仿宋" w:cs="仿宋"/>
          <w:bCs/>
          <w:kern w:val="0"/>
          <w:szCs w:val="30"/>
        </w:rPr>
        <w:t>注：投标供应商可根据项目需求内容添加响应文件资料。</w:t>
      </w:r>
    </w:p>
    <w:p w14:paraId="116BBB8C">
      <w:pPr>
        <w:rPr>
          <w:rFonts w:ascii="仿宋" w:hAnsi="仿宋" w:eastAsia="仿宋" w:cs="仿宋"/>
          <w:szCs w:val="30"/>
        </w:rPr>
      </w:pPr>
    </w:p>
    <w:p w14:paraId="75C4CEEF">
      <w:pPr>
        <w:pStyle w:val="12"/>
        <w:jc w:val="both"/>
        <w:rPr>
          <w:rFonts w:ascii="仿宋" w:hAnsi="仿宋" w:eastAsia="仿宋" w:cs="仿宋"/>
          <w:sz w:val="30"/>
          <w:szCs w:val="30"/>
        </w:rPr>
      </w:pPr>
      <w:r>
        <w:rPr>
          <w:rFonts w:hint="eastAsia" w:ascii="仿宋" w:hAnsi="仿宋" w:eastAsia="仿宋" w:cs="仿宋"/>
          <w:sz w:val="30"/>
          <w:szCs w:val="30"/>
        </w:rPr>
        <w:br w:type="page"/>
      </w:r>
    </w:p>
    <w:p w14:paraId="7820C94B">
      <w:pPr>
        <w:pStyle w:val="12"/>
        <w:jc w:val="both"/>
        <w:rPr>
          <w:rFonts w:ascii="仿宋" w:hAnsi="仿宋" w:eastAsia="仿宋" w:cs="仿宋"/>
          <w:b w:val="0"/>
          <w:sz w:val="30"/>
          <w:szCs w:val="30"/>
        </w:rPr>
      </w:pPr>
      <w:r>
        <w:rPr>
          <w:rFonts w:hint="eastAsia" w:ascii="仿宋" w:hAnsi="仿宋" w:eastAsia="仿宋" w:cs="仿宋"/>
          <w:b w:val="0"/>
          <w:sz w:val="30"/>
          <w:szCs w:val="30"/>
        </w:rPr>
        <w:t>附件1：</w:t>
      </w:r>
    </w:p>
    <w:p w14:paraId="77C8F09C">
      <w:pPr>
        <w:pStyle w:val="12"/>
        <w:jc w:val="both"/>
        <w:rPr>
          <w:rFonts w:ascii="仿宋" w:hAnsi="仿宋" w:eastAsia="仿宋" w:cs="仿宋"/>
          <w:sz w:val="30"/>
          <w:szCs w:val="30"/>
        </w:rPr>
      </w:pPr>
      <w:r>
        <w:rPr>
          <w:rFonts w:hint="eastAsia" w:ascii="仿宋" w:hAnsi="仿宋" w:eastAsia="仿宋" w:cs="仿宋"/>
          <w:sz w:val="30"/>
          <w:szCs w:val="30"/>
        </w:rPr>
        <w:t>封面：</w:t>
      </w:r>
    </w:p>
    <w:p w14:paraId="4E7BE437">
      <w:pPr>
        <w:spacing w:line="240" w:lineRule="atLeast"/>
        <w:jc w:val="center"/>
        <w:rPr>
          <w:rFonts w:ascii="仿宋" w:hAnsi="仿宋" w:eastAsia="仿宋" w:cs="仿宋"/>
          <w:b/>
          <w:kern w:val="0"/>
          <w:szCs w:val="30"/>
          <w:u w:val="single"/>
        </w:rPr>
      </w:pPr>
    </w:p>
    <w:p w14:paraId="0215C8EF">
      <w:pPr>
        <w:spacing w:line="240" w:lineRule="atLeast"/>
        <w:jc w:val="center"/>
        <w:rPr>
          <w:rFonts w:hint="eastAsia" w:ascii="宋体" w:hAnsi="宋体" w:eastAsia="宋体" w:cs="宋体"/>
          <w:b/>
          <w:kern w:val="0"/>
          <w:sz w:val="36"/>
          <w:szCs w:val="36"/>
          <w:u w:val="single"/>
        </w:rPr>
      </w:pPr>
      <w:r>
        <w:rPr>
          <w:rFonts w:hint="eastAsia" w:ascii="宋体" w:hAnsi="宋体" w:eastAsia="宋体" w:cs="宋体"/>
          <w:bCs/>
          <w:kern w:val="0"/>
          <w:sz w:val="36"/>
          <w:szCs w:val="36"/>
          <w:u w:val="single"/>
        </w:rPr>
        <w:t>江门市技师学院潮连、荷塘两校区电梯维保服务采购项目</w:t>
      </w:r>
    </w:p>
    <w:p w14:paraId="40B384C1">
      <w:pPr>
        <w:spacing w:line="240" w:lineRule="atLeast"/>
        <w:jc w:val="center"/>
        <w:rPr>
          <w:rFonts w:ascii="仿宋" w:hAnsi="仿宋" w:eastAsia="仿宋" w:cs="仿宋"/>
          <w:b/>
          <w:kern w:val="0"/>
          <w:szCs w:val="30"/>
          <w:u w:val="single"/>
        </w:rPr>
      </w:pPr>
    </w:p>
    <w:p w14:paraId="5207BCD9">
      <w:pPr>
        <w:spacing w:line="240" w:lineRule="atLeast"/>
        <w:jc w:val="center"/>
        <w:rPr>
          <w:rFonts w:ascii="仿宋" w:hAnsi="仿宋" w:eastAsia="仿宋" w:cs="仿宋"/>
          <w:b/>
          <w:szCs w:val="30"/>
        </w:rPr>
      </w:pPr>
      <w:r>
        <w:rPr>
          <w:rFonts w:hint="eastAsia" w:ascii="仿宋" w:hAnsi="仿宋" w:eastAsia="仿宋" w:cs="仿宋"/>
          <w:b/>
          <w:szCs w:val="30"/>
        </w:rPr>
        <w:t>项目编号：</w:t>
      </w:r>
      <w:r>
        <w:rPr>
          <w:rFonts w:hint="eastAsia" w:ascii="仿宋" w:hAnsi="仿宋" w:eastAsia="仿宋" w:cs="仿宋"/>
          <w:szCs w:val="30"/>
          <w:lang w:val="en-US" w:eastAsia="zh-CN"/>
        </w:rPr>
        <w:t>zwb</w:t>
      </w:r>
      <w:r>
        <w:rPr>
          <w:rFonts w:hint="eastAsia" w:ascii="仿宋" w:hAnsi="仿宋" w:eastAsia="仿宋" w:cs="仿宋"/>
          <w:bCs w:val="0"/>
          <w:kern w:val="2"/>
          <w:sz w:val="30"/>
          <w:szCs w:val="30"/>
          <w:lang w:val="en-US" w:eastAsia="zh-CN"/>
        </w:rPr>
        <w:t>-cgzx-2025-39</w:t>
      </w:r>
    </w:p>
    <w:p w14:paraId="7ACBD4AB">
      <w:pPr>
        <w:spacing w:line="240" w:lineRule="atLeast"/>
        <w:jc w:val="center"/>
        <w:rPr>
          <w:rFonts w:ascii="仿宋" w:hAnsi="仿宋" w:eastAsia="仿宋" w:cs="仿宋"/>
          <w:b/>
          <w:szCs w:val="30"/>
        </w:rPr>
      </w:pPr>
    </w:p>
    <w:p w14:paraId="717D02CD">
      <w:pPr>
        <w:spacing w:line="240" w:lineRule="atLeast"/>
        <w:jc w:val="center"/>
        <w:rPr>
          <w:rFonts w:ascii="仿宋" w:hAnsi="仿宋" w:eastAsia="仿宋" w:cs="仿宋"/>
          <w:b/>
          <w:bCs/>
          <w:sz w:val="72"/>
          <w:szCs w:val="72"/>
        </w:rPr>
      </w:pPr>
      <w:r>
        <w:rPr>
          <w:rFonts w:hint="eastAsia" w:ascii="仿宋" w:hAnsi="仿宋" w:eastAsia="仿宋" w:cs="仿宋"/>
          <w:b/>
          <w:bCs/>
          <w:sz w:val="72"/>
          <w:szCs w:val="72"/>
        </w:rPr>
        <w:t>响</w:t>
      </w:r>
    </w:p>
    <w:p w14:paraId="327510DB">
      <w:pPr>
        <w:spacing w:line="240" w:lineRule="atLeast"/>
        <w:jc w:val="center"/>
        <w:rPr>
          <w:rFonts w:ascii="仿宋" w:hAnsi="仿宋" w:eastAsia="仿宋" w:cs="仿宋"/>
          <w:b/>
          <w:bCs/>
          <w:sz w:val="72"/>
          <w:szCs w:val="72"/>
        </w:rPr>
      </w:pPr>
      <w:r>
        <w:rPr>
          <w:rFonts w:hint="eastAsia" w:ascii="仿宋" w:hAnsi="仿宋" w:eastAsia="仿宋" w:cs="仿宋"/>
          <w:b/>
          <w:bCs/>
          <w:sz w:val="72"/>
          <w:szCs w:val="72"/>
        </w:rPr>
        <w:t>应</w:t>
      </w:r>
    </w:p>
    <w:p w14:paraId="02C045E2">
      <w:pPr>
        <w:spacing w:line="240" w:lineRule="atLeast"/>
        <w:jc w:val="center"/>
        <w:rPr>
          <w:rFonts w:ascii="仿宋" w:hAnsi="仿宋" w:eastAsia="仿宋" w:cs="仿宋"/>
          <w:b/>
          <w:bCs/>
          <w:sz w:val="72"/>
          <w:szCs w:val="72"/>
        </w:rPr>
      </w:pPr>
      <w:r>
        <w:rPr>
          <w:rFonts w:hint="eastAsia" w:ascii="仿宋" w:hAnsi="仿宋" w:eastAsia="仿宋" w:cs="仿宋"/>
          <w:b/>
          <w:bCs/>
          <w:sz w:val="72"/>
          <w:szCs w:val="72"/>
        </w:rPr>
        <w:t>文</w:t>
      </w:r>
    </w:p>
    <w:p w14:paraId="69684AC2">
      <w:pPr>
        <w:spacing w:line="240" w:lineRule="atLeast"/>
        <w:jc w:val="center"/>
        <w:rPr>
          <w:rFonts w:ascii="仿宋" w:hAnsi="仿宋" w:eastAsia="仿宋" w:cs="仿宋"/>
          <w:sz w:val="72"/>
          <w:szCs w:val="72"/>
        </w:rPr>
      </w:pPr>
      <w:r>
        <w:rPr>
          <w:rFonts w:hint="eastAsia" w:ascii="仿宋" w:hAnsi="仿宋" w:eastAsia="仿宋" w:cs="仿宋"/>
          <w:b/>
          <w:bCs/>
          <w:sz w:val="72"/>
          <w:szCs w:val="72"/>
        </w:rPr>
        <w:t>件</w:t>
      </w:r>
    </w:p>
    <w:p w14:paraId="7D473EDE">
      <w:pPr>
        <w:spacing w:line="240" w:lineRule="atLeast"/>
        <w:ind w:firstLine="300" w:firstLineChars="100"/>
        <w:jc w:val="center"/>
        <w:rPr>
          <w:rFonts w:ascii="仿宋" w:hAnsi="仿宋" w:eastAsia="仿宋" w:cs="仿宋"/>
          <w:szCs w:val="30"/>
        </w:rPr>
      </w:pPr>
      <w:r>
        <w:rPr>
          <w:rFonts w:hint="eastAsia" w:ascii="仿宋" w:hAnsi="仿宋" w:eastAsia="仿宋" w:cs="仿宋"/>
          <w:szCs w:val="30"/>
        </w:rPr>
        <w:t>（正本/副本）</w:t>
      </w:r>
    </w:p>
    <w:p w14:paraId="1BB2BD9C">
      <w:pPr>
        <w:spacing w:line="240" w:lineRule="atLeast"/>
        <w:ind w:firstLine="300" w:firstLineChars="100"/>
        <w:jc w:val="center"/>
        <w:rPr>
          <w:rFonts w:ascii="仿宋" w:hAnsi="仿宋" w:eastAsia="仿宋" w:cs="仿宋"/>
          <w:szCs w:val="30"/>
        </w:rPr>
      </w:pPr>
    </w:p>
    <w:p w14:paraId="5C2CE5B9">
      <w:pPr>
        <w:spacing w:line="360" w:lineRule="auto"/>
        <w:rPr>
          <w:rFonts w:ascii="仿宋" w:hAnsi="仿宋" w:eastAsia="仿宋" w:cs="仿宋"/>
          <w:szCs w:val="30"/>
        </w:rPr>
      </w:pPr>
    </w:p>
    <w:p w14:paraId="28DACE17">
      <w:pPr>
        <w:spacing w:line="360" w:lineRule="auto"/>
        <w:ind w:firstLine="1350" w:firstLineChars="450"/>
        <w:jc w:val="left"/>
        <w:rPr>
          <w:rFonts w:ascii="仿宋" w:hAnsi="仿宋" w:eastAsia="仿宋" w:cs="仿宋"/>
          <w:szCs w:val="30"/>
        </w:rPr>
      </w:pPr>
      <w:r>
        <w:rPr>
          <w:rFonts w:hint="eastAsia" w:ascii="仿宋" w:hAnsi="仿宋" w:eastAsia="仿宋" w:cs="仿宋"/>
          <w:szCs w:val="30"/>
        </w:rPr>
        <w:t>投标供应商（盖章）：</w:t>
      </w:r>
    </w:p>
    <w:p w14:paraId="0E1782B6">
      <w:pPr>
        <w:spacing w:line="360" w:lineRule="auto"/>
        <w:ind w:firstLine="1350" w:firstLineChars="450"/>
        <w:jc w:val="left"/>
        <w:rPr>
          <w:rFonts w:ascii="仿宋" w:hAnsi="仿宋" w:eastAsia="仿宋" w:cs="仿宋"/>
          <w:szCs w:val="30"/>
        </w:rPr>
      </w:pPr>
      <w:r>
        <w:rPr>
          <w:rFonts w:hint="eastAsia" w:ascii="仿宋" w:hAnsi="仿宋" w:eastAsia="仿宋" w:cs="仿宋"/>
          <w:szCs w:val="30"/>
        </w:rPr>
        <w:t>法定代表人（或经营者）或委托代理人（签字）：</w:t>
      </w:r>
    </w:p>
    <w:p w14:paraId="246F07B0">
      <w:pPr>
        <w:spacing w:line="360" w:lineRule="auto"/>
        <w:ind w:right="-732" w:rightChars="-244" w:firstLine="1350" w:firstLineChars="450"/>
        <w:jc w:val="left"/>
        <w:rPr>
          <w:rFonts w:ascii="仿宋" w:hAnsi="仿宋" w:eastAsia="仿宋" w:cs="仿宋"/>
          <w:szCs w:val="30"/>
        </w:rPr>
      </w:pPr>
      <w:r>
        <w:rPr>
          <w:rFonts w:hint="eastAsia" w:ascii="仿宋" w:hAnsi="仿宋" w:eastAsia="仿宋" w:cs="仿宋"/>
          <w:szCs w:val="30"/>
        </w:rPr>
        <w:t>日期：年月日</w:t>
      </w:r>
      <w:r>
        <w:rPr>
          <w:rFonts w:hint="eastAsia" w:ascii="仿宋" w:hAnsi="仿宋" w:eastAsia="仿宋" w:cs="仿宋"/>
          <w:szCs w:val="30"/>
        </w:rPr>
        <w:br w:type="page"/>
      </w:r>
    </w:p>
    <w:p w14:paraId="0AD21B32">
      <w:pPr>
        <w:spacing w:line="240" w:lineRule="atLeast"/>
        <w:ind w:right="-732" w:rightChars="-244"/>
        <w:rPr>
          <w:rFonts w:ascii="仿宋" w:hAnsi="仿宋" w:eastAsia="仿宋" w:cs="仿宋"/>
          <w:szCs w:val="30"/>
        </w:rPr>
      </w:pPr>
      <w:r>
        <w:rPr>
          <w:rFonts w:hint="eastAsia" w:ascii="仿宋" w:hAnsi="仿宋" w:eastAsia="仿宋" w:cs="仿宋"/>
          <w:szCs w:val="30"/>
        </w:rPr>
        <w:t>封面粘贴要求：按统一格式，完善相关资料后打印贴于档案袋正面</w:t>
      </w:r>
    </w:p>
    <w:p w14:paraId="6783787B">
      <w:pPr>
        <w:spacing w:line="240" w:lineRule="atLeast"/>
        <w:ind w:right="-732" w:rightChars="-244"/>
        <w:rPr>
          <w:rFonts w:ascii="仿宋" w:hAnsi="仿宋" w:eastAsia="仿宋" w:cs="仿宋"/>
          <w:szCs w:val="30"/>
        </w:rPr>
      </w:pPr>
      <w:r>
        <w:rPr>
          <w:rFonts w:hint="eastAsia" w:ascii="仿宋" w:hAnsi="仿宋" w:eastAsia="仿宋" w:cs="仿宋"/>
          <w:szCs w:val="30"/>
        </w:rPr>
        <w:t>注意：请选择正本或副本，并加盖单位公章。</w:t>
      </w:r>
    </w:p>
    <w:p w14:paraId="14C1E7A1">
      <w:pPr>
        <w:spacing w:line="240" w:lineRule="atLeast"/>
        <w:ind w:right="-732" w:rightChars="-244"/>
        <w:rPr>
          <w:rFonts w:ascii="仿宋" w:hAnsi="仿宋" w:eastAsia="仿宋" w:cs="仿宋"/>
          <w:szCs w:val="30"/>
        </w:rPr>
      </w:pPr>
      <w:r>
        <w:rPr>
          <w:rFonts w:hint="eastAsia" w:ascii="仿宋" w:hAnsi="仿宋" w:eastAsia="仿宋" w:cs="仿宋"/>
          <w:szCs w:val="30"/>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5"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1F1AA573">
      <w:pPr>
        <w:widowControl/>
        <w:jc w:val="left"/>
        <w:rPr>
          <w:rFonts w:ascii="仿宋" w:hAnsi="仿宋" w:eastAsia="仿宋" w:cs="仿宋"/>
          <w:szCs w:val="30"/>
        </w:rPr>
      </w:pPr>
      <w:r>
        <w:rPr>
          <w:rFonts w:hint="eastAsia" w:ascii="仿宋" w:hAnsi="仿宋" w:eastAsia="仿宋" w:cs="仿宋"/>
          <w:szCs w:val="30"/>
        </w:rPr>
        <w:br w:type="page"/>
      </w:r>
    </w:p>
    <w:p w14:paraId="65FF9B2D">
      <w:pPr>
        <w:spacing w:line="240" w:lineRule="atLeast"/>
        <w:ind w:right="-732" w:rightChars="-244"/>
        <w:rPr>
          <w:rFonts w:ascii="仿宋" w:hAnsi="仿宋" w:eastAsia="仿宋" w:cs="仿宋"/>
          <w:szCs w:val="30"/>
        </w:rPr>
      </w:pPr>
      <w:r>
        <w:rPr>
          <w:rFonts w:hint="eastAsia" w:ascii="仿宋" w:hAnsi="仿宋" w:eastAsia="仿宋" w:cs="仿宋"/>
          <w:szCs w:val="30"/>
        </w:rPr>
        <w:t>封条粘贴要求：密封条须贴在档案袋封口处，盖骑缝公章。</w:t>
      </w:r>
    </w:p>
    <w:p w14:paraId="145246A1">
      <w:pPr>
        <w:spacing w:line="240" w:lineRule="atLeast"/>
        <w:ind w:right="-732" w:rightChars="-244"/>
        <w:rPr>
          <w:rFonts w:ascii="仿宋" w:hAnsi="仿宋" w:eastAsia="仿宋" w:cs="仿宋"/>
          <w:szCs w:val="30"/>
        </w:rPr>
      </w:pPr>
      <w:r>
        <w:rPr>
          <w:rFonts w:hint="eastAsia" w:ascii="仿宋" w:hAnsi="仿宋" w:eastAsia="仿宋" w:cs="仿宋"/>
          <w:szCs w:val="30"/>
        </w:rPr>
        <w:t>注意：下图仅供参考，密封条粘贴及盖章位置按需处理。</w:t>
      </w:r>
    </w:p>
    <w:p w14:paraId="4100DA8E">
      <w:pPr>
        <w:spacing w:line="240" w:lineRule="atLeast"/>
        <w:ind w:right="-732" w:rightChars="-244"/>
        <w:rPr>
          <w:rFonts w:ascii="仿宋" w:hAnsi="仿宋" w:eastAsia="仿宋" w:cs="仿宋"/>
          <w:b/>
          <w:szCs w:val="30"/>
        </w:rPr>
      </w:pPr>
      <w:r>
        <w:rPr>
          <w:rFonts w:hint="eastAsia" w:ascii="仿宋" w:hAnsi="仿宋" w:eastAsia="仿宋" w:cs="仿宋"/>
          <w:szCs w:val="30"/>
        </w:rPr>
        <w:drawing>
          <wp:inline distT="0" distB="0" distL="0" distR="0">
            <wp:extent cx="6192520" cy="8448675"/>
            <wp:effectExtent l="19050" t="0" r="0" b="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6"/>
                    <a:srcRect/>
                    <a:stretch>
                      <a:fillRect/>
                    </a:stretch>
                  </pic:blipFill>
                  <pic:spPr>
                    <a:xfrm>
                      <a:off x="0" y="0"/>
                      <a:ext cx="6192520" cy="8448805"/>
                    </a:xfrm>
                    <a:prstGeom prst="rect">
                      <a:avLst/>
                    </a:prstGeom>
                    <a:noFill/>
                    <a:ln w="9525">
                      <a:noFill/>
                      <a:miter lim="800000"/>
                      <a:headEnd/>
                      <a:tailEnd/>
                    </a:ln>
                  </pic:spPr>
                </pic:pic>
              </a:graphicData>
            </a:graphic>
          </wp:inline>
        </w:drawing>
      </w:r>
      <w:r>
        <w:rPr>
          <w:rFonts w:hint="eastAsia" w:ascii="仿宋" w:hAnsi="仿宋" w:eastAsia="仿宋" w:cs="仿宋"/>
          <w:b/>
          <w:szCs w:val="30"/>
        </w:rPr>
        <w:br w:type="page"/>
      </w:r>
    </w:p>
    <w:p w14:paraId="4185EF2E">
      <w:pPr>
        <w:widowControl/>
        <w:jc w:val="left"/>
        <w:rPr>
          <w:rFonts w:ascii="仿宋" w:hAnsi="仿宋" w:eastAsia="仿宋" w:cs="仿宋"/>
          <w:szCs w:val="30"/>
        </w:rPr>
      </w:pPr>
      <w:r>
        <w:rPr>
          <w:rFonts w:hint="eastAsia" w:ascii="仿宋" w:hAnsi="仿宋" w:eastAsia="仿宋" w:cs="仿宋"/>
          <w:szCs w:val="30"/>
        </w:rPr>
        <w:t>附件2：</w:t>
      </w:r>
    </w:p>
    <w:p w14:paraId="3C659796">
      <w:pPr>
        <w:widowControl/>
        <w:jc w:val="center"/>
        <w:rPr>
          <w:rFonts w:ascii="仿宋" w:hAnsi="仿宋" w:eastAsia="仿宋" w:cs="仿宋"/>
          <w:b/>
          <w:szCs w:val="30"/>
        </w:rPr>
      </w:pPr>
      <w:r>
        <w:rPr>
          <w:rFonts w:hint="eastAsia" w:ascii="仿宋" w:hAnsi="仿宋" w:eastAsia="仿宋" w:cs="仿宋"/>
          <w:b/>
          <w:szCs w:val="30"/>
        </w:rPr>
        <w:t>投标供应商资格声明函</w:t>
      </w:r>
    </w:p>
    <w:p w14:paraId="707E4B14">
      <w:pPr>
        <w:widowControl/>
        <w:jc w:val="left"/>
        <w:rPr>
          <w:rFonts w:ascii="仿宋" w:hAnsi="仿宋" w:eastAsia="仿宋" w:cs="仿宋"/>
          <w:b/>
          <w:szCs w:val="30"/>
        </w:rPr>
      </w:pPr>
    </w:p>
    <w:p w14:paraId="524E32CC">
      <w:pPr>
        <w:spacing w:line="480" w:lineRule="auto"/>
        <w:rPr>
          <w:rFonts w:ascii="仿宋" w:hAnsi="仿宋" w:eastAsia="仿宋" w:cs="仿宋"/>
          <w:szCs w:val="30"/>
          <w:u w:val="single"/>
        </w:rPr>
      </w:pPr>
      <w:r>
        <w:rPr>
          <w:rFonts w:hint="eastAsia" w:ascii="仿宋" w:hAnsi="仿宋" w:eastAsia="仿宋" w:cs="仿宋"/>
          <w:szCs w:val="30"/>
        </w:rPr>
        <w:t>致：</w:t>
      </w:r>
      <w:r>
        <w:rPr>
          <w:rFonts w:hint="eastAsia" w:ascii="仿宋" w:hAnsi="仿宋" w:eastAsia="仿宋" w:cs="仿宋"/>
          <w:szCs w:val="30"/>
          <w:u w:val="single"/>
        </w:rPr>
        <w:t>江门市技师学院</w:t>
      </w:r>
    </w:p>
    <w:p w14:paraId="2F09AA69">
      <w:pPr>
        <w:widowControl/>
        <w:spacing w:line="480" w:lineRule="auto"/>
        <w:ind w:firstLine="600" w:firstLineChars="200"/>
        <w:jc w:val="left"/>
        <w:rPr>
          <w:rFonts w:ascii="仿宋" w:hAnsi="仿宋" w:eastAsia="仿宋" w:cs="仿宋"/>
          <w:szCs w:val="30"/>
        </w:rPr>
      </w:pPr>
      <w:r>
        <w:rPr>
          <w:rFonts w:hint="eastAsia" w:ascii="仿宋" w:hAnsi="仿宋" w:eastAsia="仿宋" w:cs="仿宋"/>
          <w:szCs w:val="30"/>
          <w:u w:val="single"/>
        </w:rPr>
        <w:t>（投标供应商）</w:t>
      </w:r>
      <w:r>
        <w:rPr>
          <w:rFonts w:hint="eastAsia" w:ascii="仿宋" w:hAnsi="仿宋" w:eastAsia="仿宋" w:cs="仿宋"/>
          <w:szCs w:val="30"/>
        </w:rPr>
        <w:t>郑重承诺：我单位在参与投标前已详细研究了本次招标的所有内容，包括澄清、修改文件（如果有）和所有已提供的参考资料以及有关附件，我单位完全明白并认为此招标没有倾向性，也不存在排斥潜在投标供应商的内容，我单位同意招标文件的相关条款，放弃对招标文件提出误解和质疑的一切权力。</w:t>
      </w:r>
    </w:p>
    <w:p w14:paraId="6C3FC9FD">
      <w:pPr>
        <w:widowControl/>
        <w:spacing w:line="480" w:lineRule="auto"/>
        <w:ind w:firstLine="600" w:firstLineChars="200"/>
        <w:jc w:val="left"/>
        <w:rPr>
          <w:rFonts w:ascii="仿宋" w:hAnsi="仿宋" w:eastAsia="仿宋" w:cs="仿宋"/>
          <w:szCs w:val="30"/>
        </w:rPr>
      </w:pPr>
      <w:r>
        <w:rPr>
          <w:rFonts w:hint="eastAsia" w:ascii="仿宋" w:hAnsi="仿宋" w:eastAsia="仿宋" w:cs="仿宋"/>
          <w:szCs w:val="30"/>
        </w:rPr>
        <w:t>我单位具备《中华人民共和国政府采购法》第二十二条规定的条件。</w:t>
      </w:r>
    </w:p>
    <w:p w14:paraId="5F6206B4">
      <w:pPr>
        <w:widowControl/>
        <w:spacing w:line="480" w:lineRule="auto"/>
        <w:ind w:firstLine="600" w:firstLineChars="200"/>
        <w:jc w:val="left"/>
        <w:rPr>
          <w:rFonts w:ascii="仿宋" w:hAnsi="仿宋" w:eastAsia="仿宋" w:cs="仿宋"/>
          <w:szCs w:val="30"/>
        </w:rPr>
      </w:pPr>
      <w:r>
        <w:rPr>
          <w:rFonts w:hint="eastAsia" w:ascii="仿宋" w:hAnsi="仿宋" w:eastAsia="仿宋" w:cs="仿宋"/>
          <w:szCs w:val="30"/>
        </w:rPr>
        <w:t>我单位作为法律、财务和运作上独立于采购人、采购代理机构的投标供应商，在此保证所提交的所有文件和全部说明是真实的和正确的。</w:t>
      </w:r>
    </w:p>
    <w:p w14:paraId="605CC058">
      <w:pPr>
        <w:widowControl/>
        <w:spacing w:line="480" w:lineRule="auto"/>
        <w:ind w:firstLine="600" w:firstLineChars="200"/>
        <w:jc w:val="left"/>
        <w:rPr>
          <w:rFonts w:ascii="仿宋" w:hAnsi="仿宋" w:eastAsia="仿宋" w:cs="仿宋"/>
          <w:szCs w:val="30"/>
        </w:rPr>
      </w:pPr>
      <w:r>
        <w:rPr>
          <w:rFonts w:hint="eastAsia" w:ascii="仿宋" w:hAnsi="仿宋" w:eastAsia="仿宋" w:cs="仿宋"/>
          <w:szCs w:val="30"/>
        </w:rPr>
        <w:t>我单位与其他投标供应商不存在单位负责人为同一人或者存在直接控股、管理关系。</w:t>
      </w:r>
    </w:p>
    <w:p w14:paraId="184883DF">
      <w:pPr>
        <w:spacing w:line="480" w:lineRule="auto"/>
        <w:ind w:firstLine="600" w:firstLineChars="200"/>
        <w:jc w:val="left"/>
        <w:rPr>
          <w:rFonts w:ascii="仿宋" w:hAnsi="仿宋" w:eastAsia="仿宋" w:cs="仿宋"/>
          <w:szCs w:val="30"/>
        </w:rPr>
      </w:pPr>
      <w:r>
        <w:rPr>
          <w:rFonts w:hint="eastAsia" w:ascii="仿宋" w:hAnsi="仿宋" w:eastAsia="仿宋" w:cs="仿宋"/>
          <w:szCs w:val="30"/>
        </w:rPr>
        <w:t>如果本承诺与事实不符，我单位愿意无条件承担由此给本项目带来的一切后果(包括经济损失)。</w:t>
      </w:r>
    </w:p>
    <w:p w14:paraId="6CEB6591">
      <w:pPr>
        <w:spacing w:line="480" w:lineRule="auto"/>
        <w:ind w:firstLine="600" w:firstLineChars="200"/>
        <w:rPr>
          <w:rFonts w:ascii="仿宋" w:hAnsi="仿宋" w:eastAsia="仿宋" w:cs="仿宋"/>
          <w:szCs w:val="30"/>
        </w:rPr>
      </w:pPr>
      <w:r>
        <w:rPr>
          <w:rFonts w:hint="eastAsia" w:ascii="仿宋" w:hAnsi="仿宋" w:eastAsia="仿宋" w:cs="仿宋"/>
          <w:szCs w:val="30"/>
        </w:rPr>
        <w:t>投标供应商名称：</w:t>
      </w:r>
      <w:r>
        <w:rPr>
          <w:rFonts w:hint="eastAsia" w:ascii="仿宋" w:hAnsi="仿宋" w:eastAsia="仿宋" w:cs="仿宋"/>
          <w:szCs w:val="30"/>
          <w:u w:val="single"/>
        </w:rPr>
        <w:t>（全称、盖章）  </w:t>
      </w:r>
    </w:p>
    <w:p w14:paraId="01973EA1">
      <w:pPr>
        <w:spacing w:line="480" w:lineRule="auto"/>
        <w:ind w:firstLine="600" w:firstLineChars="200"/>
        <w:rPr>
          <w:rFonts w:ascii="仿宋" w:hAnsi="仿宋" w:eastAsia="仿宋" w:cs="仿宋"/>
          <w:szCs w:val="30"/>
        </w:rPr>
      </w:pPr>
      <w:r>
        <w:rPr>
          <w:rFonts w:hint="eastAsia" w:ascii="仿宋" w:hAnsi="仿宋" w:eastAsia="仿宋" w:cs="仿宋"/>
          <w:szCs w:val="30"/>
        </w:rPr>
        <w:t>法定代表人（或经营者）或授权代表：</w:t>
      </w:r>
      <w:r>
        <w:rPr>
          <w:rFonts w:hint="eastAsia" w:ascii="仿宋" w:hAnsi="仿宋" w:eastAsia="仿宋" w:cs="仿宋"/>
          <w:szCs w:val="30"/>
          <w:u w:val="single"/>
        </w:rPr>
        <w:t>（签字）  </w:t>
      </w:r>
    </w:p>
    <w:p w14:paraId="64C7ADD2">
      <w:pPr>
        <w:spacing w:line="480" w:lineRule="auto"/>
        <w:ind w:firstLine="600" w:firstLineChars="200"/>
        <w:rPr>
          <w:rFonts w:ascii="仿宋" w:hAnsi="仿宋" w:eastAsia="仿宋" w:cs="仿宋"/>
          <w:b/>
          <w:szCs w:val="30"/>
        </w:rPr>
      </w:pPr>
      <w:r>
        <w:rPr>
          <w:rFonts w:hint="eastAsia" w:ascii="仿宋" w:hAnsi="仿宋" w:eastAsia="仿宋" w:cs="仿宋"/>
          <w:szCs w:val="30"/>
        </w:rPr>
        <w:t>日期：</w:t>
      </w:r>
      <w:r>
        <w:rPr>
          <w:rFonts w:hint="eastAsia" w:ascii="仿宋" w:hAnsi="仿宋" w:eastAsia="仿宋" w:cs="仿宋"/>
          <w:szCs w:val="30"/>
          <w:u w:val="single"/>
        </w:rPr>
        <w:t>　　年　　月　　日　</w:t>
      </w:r>
      <w:r>
        <w:rPr>
          <w:rFonts w:hint="eastAsia" w:ascii="仿宋" w:hAnsi="仿宋" w:eastAsia="仿宋" w:cs="仿宋"/>
          <w:b/>
          <w:szCs w:val="30"/>
        </w:rPr>
        <w:br w:type="page"/>
      </w:r>
    </w:p>
    <w:p w14:paraId="16D20880">
      <w:pPr>
        <w:widowControl/>
        <w:jc w:val="left"/>
        <w:rPr>
          <w:rFonts w:ascii="仿宋" w:hAnsi="仿宋" w:eastAsia="仿宋" w:cs="仿宋"/>
          <w:szCs w:val="30"/>
        </w:rPr>
      </w:pPr>
      <w:r>
        <w:rPr>
          <w:rFonts w:hint="eastAsia" w:ascii="仿宋" w:hAnsi="仿宋" w:eastAsia="仿宋" w:cs="仿宋"/>
          <w:szCs w:val="30"/>
        </w:rPr>
        <w:t>附件3：</w:t>
      </w:r>
    </w:p>
    <w:p w14:paraId="6DA031C7">
      <w:pPr>
        <w:jc w:val="center"/>
        <w:rPr>
          <w:rFonts w:ascii="仿宋" w:hAnsi="仿宋" w:eastAsia="仿宋" w:cs="仿宋"/>
          <w:b/>
          <w:szCs w:val="30"/>
        </w:rPr>
      </w:pPr>
      <w:r>
        <w:rPr>
          <w:rFonts w:hint="eastAsia" w:ascii="仿宋" w:hAnsi="仿宋" w:eastAsia="仿宋" w:cs="仿宋"/>
          <w:b/>
          <w:szCs w:val="30"/>
        </w:rPr>
        <w:t>无重大违法记录声明函</w:t>
      </w:r>
    </w:p>
    <w:p w14:paraId="3054A032">
      <w:pPr>
        <w:tabs>
          <w:tab w:val="left" w:pos="3952"/>
        </w:tabs>
        <w:rPr>
          <w:rFonts w:ascii="仿宋" w:hAnsi="仿宋" w:eastAsia="仿宋" w:cs="仿宋"/>
          <w:szCs w:val="30"/>
        </w:rPr>
      </w:pPr>
    </w:p>
    <w:p w14:paraId="56F709B3">
      <w:pPr>
        <w:spacing w:line="480" w:lineRule="auto"/>
        <w:rPr>
          <w:rFonts w:ascii="仿宋" w:hAnsi="仿宋" w:eastAsia="仿宋" w:cs="仿宋"/>
          <w:szCs w:val="30"/>
          <w:u w:val="single"/>
        </w:rPr>
      </w:pPr>
      <w:r>
        <w:rPr>
          <w:rFonts w:hint="eastAsia" w:ascii="仿宋" w:hAnsi="仿宋" w:eastAsia="仿宋" w:cs="仿宋"/>
          <w:szCs w:val="30"/>
        </w:rPr>
        <w:t>致：</w:t>
      </w:r>
      <w:r>
        <w:rPr>
          <w:rFonts w:hint="eastAsia" w:ascii="仿宋" w:hAnsi="仿宋" w:eastAsia="仿宋" w:cs="仿宋"/>
          <w:szCs w:val="30"/>
          <w:u w:val="single"/>
        </w:rPr>
        <w:t>江门市技师学院</w:t>
      </w:r>
    </w:p>
    <w:p w14:paraId="38693685">
      <w:pPr>
        <w:spacing w:line="480" w:lineRule="auto"/>
        <w:ind w:firstLine="600" w:firstLineChars="200"/>
        <w:jc w:val="left"/>
        <w:rPr>
          <w:rFonts w:ascii="仿宋" w:hAnsi="仿宋" w:eastAsia="仿宋" w:cs="仿宋"/>
          <w:szCs w:val="30"/>
        </w:rPr>
      </w:pPr>
      <w:r>
        <w:rPr>
          <w:rFonts w:hint="eastAsia" w:ascii="仿宋" w:hAnsi="仿宋" w:eastAsia="仿宋" w:cs="仿宋"/>
          <w:szCs w:val="30"/>
          <w:u w:val="single"/>
        </w:rPr>
        <w:t>（投标供应商）</w:t>
      </w:r>
      <w:r>
        <w:rPr>
          <w:rFonts w:hint="eastAsia" w:ascii="仿宋" w:hAnsi="仿宋" w:eastAsia="仿宋" w:cs="仿宋"/>
          <w:szCs w:val="30"/>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3DF8D5A2">
      <w:pPr>
        <w:spacing w:line="480" w:lineRule="auto"/>
        <w:ind w:firstLine="600" w:firstLineChars="200"/>
        <w:jc w:val="left"/>
        <w:rPr>
          <w:rFonts w:ascii="仿宋" w:hAnsi="仿宋" w:eastAsia="仿宋" w:cs="仿宋"/>
          <w:szCs w:val="30"/>
        </w:rPr>
      </w:pPr>
      <w:r>
        <w:rPr>
          <w:rFonts w:hint="eastAsia" w:ascii="仿宋" w:hAnsi="仿宋" w:eastAsia="仿宋" w:cs="仿宋"/>
          <w:szCs w:val="30"/>
        </w:rPr>
        <w:t>如果本承诺与事实不符，我单位愿意无条件承担由此给本项目带来的一切后果(包括经济损失)。</w:t>
      </w:r>
    </w:p>
    <w:p w14:paraId="2D069389">
      <w:pPr>
        <w:spacing w:line="480" w:lineRule="auto"/>
        <w:rPr>
          <w:rFonts w:ascii="仿宋" w:hAnsi="仿宋" w:eastAsia="仿宋" w:cs="仿宋"/>
          <w:szCs w:val="30"/>
        </w:rPr>
      </w:pPr>
    </w:p>
    <w:p w14:paraId="7E59DA23">
      <w:pPr>
        <w:spacing w:line="480" w:lineRule="auto"/>
        <w:rPr>
          <w:rFonts w:ascii="仿宋" w:hAnsi="仿宋" w:eastAsia="仿宋" w:cs="仿宋"/>
          <w:szCs w:val="30"/>
        </w:rPr>
      </w:pPr>
    </w:p>
    <w:p w14:paraId="142665CE">
      <w:pPr>
        <w:spacing w:line="480" w:lineRule="auto"/>
        <w:ind w:firstLine="600" w:firstLineChars="200"/>
        <w:rPr>
          <w:rFonts w:ascii="仿宋" w:hAnsi="仿宋" w:eastAsia="仿宋" w:cs="仿宋"/>
          <w:szCs w:val="30"/>
        </w:rPr>
      </w:pPr>
      <w:r>
        <w:rPr>
          <w:rFonts w:hint="eastAsia" w:ascii="仿宋" w:hAnsi="仿宋" w:eastAsia="仿宋" w:cs="仿宋"/>
          <w:szCs w:val="30"/>
        </w:rPr>
        <w:t>投标供应商名称：</w:t>
      </w:r>
      <w:r>
        <w:rPr>
          <w:rFonts w:hint="eastAsia" w:ascii="仿宋" w:hAnsi="仿宋" w:eastAsia="仿宋" w:cs="仿宋"/>
          <w:szCs w:val="30"/>
          <w:u w:val="single"/>
        </w:rPr>
        <w:t>（全称、盖章）  </w:t>
      </w:r>
    </w:p>
    <w:p w14:paraId="2BACF6D1">
      <w:pPr>
        <w:spacing w:line="480" w:lineRule="auto"/>
        <w:ind w:firstLine="600" w:firstLineChars="200"/>
        <w:rPr>
          <w:rFonts w:ascii="仿宋" w:hAnsi="仿宋" w:eastAsia="仿宋" w:cs="仿宋"/>
          <w:szCs w:val="30"/>
        </w:rPr>
      </w:pPr>
      <w:r>
        <w:rPr>
          <w:rFonts w:hint="eastAsia" w:ascii="仿宋" w:hAnsi="仿宋" w:eastAsia="仿宋" w:cs="仿宋"/>
          <w:szCs w:val="30"/>
        </w:rPr>
        <w:t>法定代表人（或经营者）或授权代表：</w:t>
      </w:r>
      <w:r>
        <w:rPr>
          <w:rFonts w:hint="eastAsia" w:ascii="仿宋" w:hAnsi="仿宋" w:eastAsia="仿宋" w:cs="仿宋"/>
          <w:szCs w:val="30"/>
          <w:u w:val="single"/>
        </w:rPr>
        <w:t>（签字）  </w:t>
      </w:r>
    </w:p>
    <w:p w14:paraId="3F95DF3D">
      <w:pPr>
        <w:spacing w:line="480" w:lineRule="auto"/>
        <w:ind w:firstLine="600" w:firstLineChars="200"/>
        <w:rPr>
          <w:rFonts w:ascii="仿宋" w:hAnsi="仿宋" w:eastAsia="仿宋" w:cs="仿宋"/>
          <w:szCs w:val="30"/>
        </w:rPr>
      </w:pPr>
      <w:r>
        <w:rPr>
          <w:rFonts w:hint="eastAsia" w:ascii="仿宋" w:hAnsi="仿宋" w:eastAsia="仿宋" w:cs="仿宋"/>
          <w:szCs w:val="30"/>
        </w:rPr>
        <w:t>日期：</w:t>
      </w:r>
      <w:r>
        <w:rPr>
          <w:rFonts w:hint="eastAsia" w:ascii="仿宋" w:hAnsi="仿宋" w:eastAsia="仿宋" w:cs="仿宋"/>
          <w:szCs w:val="30"/>
          <w:u w:val="single"/>
        </w:rPr>
        <w:t>　　年　　月　　日　</w:t>
      </w:r>
    </w:p>
    <w:p w14:paraId="48E8EF12">
      <w:pPr>
        <w:rPr>
          <w:rFonts w:ascii="仿宋" w:hAnsi="仿宋" w:eastAsia="仿宋" w:cs="仿宋"/>
          <w:szCs w:val="30"/>
        </w:rPr>
      </w:pPr>
    </w:p>
    <w:p w14:paraId="4972D120">
      <w:pPr>
        <w:widowControl/>
        <w:jc w:val="left"/>
        <w:rPr>
          <w:rFonts w:ascii="仿宋" w:hAnsi="仿宋" w:eastAsia="仿宋" w:cs="仿宋"/>
          <w:b/>
          <w:bCs/>
          <w:szCs w:val="30"/>
        </w:rPr>
      </w:pPr>
      <w:r>
        <w:rPr>
          <w:rFonts w:hint="eastAsia" w:ascii="仿宋" w:hAnsi="仿宋" w:eastAsia="仿宋" w:cs="仿宋"/>
          <w:szCs w:val="30"/>
        </w:rPr>
        <w:br w:type="page"/>
      </w:r>
    </w:p>
    <w:p w14:paraId="35630CFA">
      <w:pPr>
        <w:widowControl/>
        <w:jc w:val="left"/>
        <w:rPr>
          <w:rFonts w:ascii="仿宋" w:hAnsi="仿宋" w:eastAsia="仿宋" w:cs="仿宋"/>
          <w:szCs w:val="30"/>
        </w:rPr>
      </w:pPr>
      <w:r>
        <w:rPr>
          <w:rFonts w:hint="eastAsia" w:ascii="仿宋" w:hAnsi="仿宋" w:eastAsia="仿宋" w:cs="仿宋"/>
          <w:szCs w:val="30"/>
        </w:rPr>
        <w:t>附件4：</w:t>
      </w:r>
    </w:p>
    <w:p w14:paraId="4BDC3829">
      <w:pPr>
        <w:jc w:val="center"/>
        <w:rPr>
          <w:rFonts w:ascii="仿宋" w:hAnsi="仿宋" w:eastAsia="仿宋" w:cs="仿宋"/>
          <w:b/>
          <w:szCs w:val="30"/>
        </w:rPr>
      </w:pPr>
      <w:r>
        <w:rPr>
          <w:rFonts w:hint="eastAsia" w:ascii="仿宋" w:hAnsi="仿宋" w:eastAsia="仿宋" w:cs="仿宋"/>
          <w:b/>
          <w:szCs w:val="30"/>
        </w:rPr>
        <w:t>服务承诺书</w:t>
      </w:r>
    </w:p>
    <w:p w14:paraId="42F5E599">
      <w:pPr>
        <w:rPr>
          <w:rFonts w:ascii="仿宋" w:hAnsi="仿宋" w:eastAsia="仿宋" w:cs="仿宋"/>
          <w:szCs w:val="30"/>
        </w:rPr>
      </w:pPr>
    </w:p>
    <w:p w14:paraId="376DBFB2">
      <w:pPr>
        <w:spacing w:line="480" w:lineRule="auto"/>
        <w:rPr>
          <w:rFonts w:ascii="仿宋" w:hAnsi="仿宋" w:eastAsia="仿宋" w:cs="仿宋"/>
          <w:szCs w:val="30"/>
          <w:u w:val="single"/>
        </w:rPr>
      </w:pPr>
      <w:r>
        <w:rPr>
          <w:rFonts w:hint="eastAsia" w:ascii="仿宋" w:hAnsi="仿宋" w:eastAsia="仿宋" w:cs="仿宋"/>
          <w:szCs w:val="30"/>
        </w:rPr>
        <w:t>致：</w:t>
      </w:r>
      <w:r>
        <w:rPr>
          <w:rFonts w:hint="eastAsia" w:ascii="仿宋" w:hAnsi="仿宋" w:eastAsia="仿宋" w:cs="仿宋"/>
          <w:szCs w:val="30"/>
          <w:u w:val="single"/>
        </w:rPr>
        <w:t>江门市技师学院</w:t>
      </w:r>
    </w:p>
    <w:p w14:paraId="1E204CA8">
      <w:pPr>
        <w:spacing w:line="480" w:lineRule="auto"/>
        <w:ind w:firstLine="600" w:firstLineChars="200"/>
        <w:rPr>
          <w:rFonts w:ascii="仿宋" w:hAnsi="仿宋" w:eastAsia="仿宋" w:cs="仿宋"/>
          <w:szCs w:val="30"/>
        </w:rPr>
      </w:pPr>
      <w:r>
        <w:rPr>
          <w:rFonts w:hint="eastAsia" w:ascii="仿宋" w:hAnsi="仿宋" w:eastAsia="仿宋" w:cs="仿宋"/>
          <w:szCs w:val="30"/>
        </w:rPr>
        <w:t>对于__________________项目（项目编号：__________________），我单位郑重承诺如中标/成交，我单位严格落实项目需求以下条款：(建议逐条复制项目需求相关条款原文)</w:t>
      </w:r>
    </w:p>
    <w:p w14:paraId="544BC562">
      <w:pPr>
        <w:spacing w:line="480" w:lineRule="auto"/>
        <w:ind w:firstLine="600" w:firstLineChars="200"/>
        <w:rPr>
          <w:rFonts w:ascii="仿宋" w:hAnsi="仿宋" w:eastAsia="仿宋" w:cs="仿宋"/>
          <w:szCs w:val="30"/>
        </w:rPr>
      </w:pPr>
      <w:r>
        <w:rPr>
          <w:rFonts w:hint="eastAsia" w:ascii="仿宋" w:hAnsi="仿宋" w:eastAsia="仿宋" w:cs="仿宋"/>
          <w:szCs w:val="30"/>
        </w:rPr>
        <w:t>1.</w:t>
      </w:r>
    </w:p>
    <w:p w14:paraId="626AFA4D">
      <w:pPr>
        <w:spacing w:line="480" w:lineRule="auto"/>
        <w:ind w:firstLine="600" w:firstLineChars="200"/>
        <w:rPr>
          <w:rFonts w:ascii="仿宋" w:hAnsi="仿宋" w:eastAsia="仿宋" w:cs="仿宋"/>
          <w:szCs w:val="30"/>
        </w:rPr>
      </w:pPr>
      <w:r>
        <w:rPr>
          <w:rFonts w:hint="eastAsia" w:ascii="仿宋" w:hAnsi="仿宋" w:eastAsia="仿宋" w:cs="仿宋"/>
          <w:szCs w:val="30"/>
        </w:rPr>
        <w:t>2.</w:t>
      </w:r>
    </w:p>
    <w:p w14:paraId="08061544">
      <w:pPr>
        <w:spacing w:line="480" w:lineRule="auto"/>
        <w:ind w:firstLine="600" w:firstLineChars="200"/>
        <w:rPr>
          <w:rFonts w:ascii="仿宋" w:hAnsi="仿宋" w:eastAsia="仿宋" w:cs="仿宋"/>
          <w:szCs w:val="30"/>
        </w:rPr>
      </w:pPr>
      <w:r>
        <w:rPr>
          <w:rFonts w:hint="eastAsia" w:ascii="仿宋" w:hAnsi="仿宋" w:eastAsia="仿宋" w:cs="仿宋"/>
          <w:szCs w:val="30"/>
        </w:rPr>
        <w:t>3.</w:t>
      </w:r>
    </w:p>
    <w:p w14:paraId="5B50BF1E">
      <w:pPr>
        <w:spacing w:line="480" w:lineRule="auto"/>
        <w:ind w:firstLine="600" w:firstLineChars="200"/>
        <w:rPr>
          <w:rFonts w:ascii="仿宋" w:hAnsi="仿宋" w:eastAsia="仿宋" w:cs="仿宋"/>
          <w:szCs w:val="30"/>
        </w:rPr>
      </w:pPr>
      <w:r>
        <w:rPr>
          <w:rFonts w:hint="eastAsia" w:ascii="仿宋" w:hAnsi="仿宋" w:eastAsia="仿宋" w:cs="仿宋"/>
          <w:szCs w:val="30"/>
        </w:rPr>
        <w:t>.........</w:t>
      </w:r>
    </w:p>
    <w:p w14:paraId="6CE55CEC">
      <w:pPr>
        <w:pStyle w:val="12"/>
        <w:jc w:val="both"/>
        <w:rPr>
          <w:rFonts w:ascii="仿宋" w:hAnsi="仿宋" w:eastAsia="仿宋" w:cs="仿宋"/>
          <w:b w:val="0"/>
          <w:bCs w:val="0"/>
          <w:sz w:val="30"/>
          <w:szCs w:val="30"/>
        </w:rPr>
      </w:pPr>
      <w:r>
        <w:rPr>
          <w:rFonts w:hint="eastAsia" w:ascii="仿宋" w:hAnsi="仿宋" w:eastAsia="仿宋" w:cs="仿宋"/>
          <w:b w:val="0"/>
          <w:bCs w:val="0"/>
          <w:sz w:val="30"/>
          <w:szCs w:val="30"/>
        </w:rPr>
        <w:t>特此承诺。</w:t>
      </w:r>
    </w:p>
    <w:p w14:paraId="53F31225">
      <w:pPr>
        <w:pStyle w:val="12"/>
        <w:jc w:val="both"/>
        <w:rPr>
          <w:rFonts w:ascii="仿宋" w:hAnsi="仿宋" w:eastAsia="仿宋" w:cs="仿宋"/>
          <w:b w:val="0"/>
          <w:bCs w:val="0"/>
          <w:sz w:val="30"/>
          <w:szCs w:val="30"/>
        </w:rPr>
      </w:pPr>
    </w:p>
    <w:p w14:paraId="2749A711">
      <w:pPr>
        <w:spacing w:line="480" w:lineRule="auto"/>
        <w:ind w:firstLine="600" w:firstLineChars="200"/>
        <w:rPr>
          <w:rFonts w:ascii="仿宋" w:hAnsi="仿宋" w:eastAsia="仿宋" w:cs="仿宋"/>
          <w:szCs w:val="30"/>
        </w:rPr>
      </w:pPr>
      <w:r>
        <w:rPr>
          <w:rFonts w:hint="eastAsia" w:ascii="仿宋" w:hAnsi="仿宋" w:eastAsia="仿宋" w:cs="仿宋"/>
          <w:szCs w:val="30"/>
        </w:rPr>
        <w:t>投标供应商名称：</w:t>
      </w:r>
      <w:r>
        <w:rPr>
          <w:rFonts w:hint="eastAsia" w:ascii="仿宋" w:hAnsi="仿宋" w:eastAsia="仿宋" w:cs="仿宋"/>
          <w:szCs w:val="30"/>
          <w:u w:val="single"/>
        </w:rPr>
        <w:t>（全称、盖章）  </w:t>
      </w:r>
    </w:p>
    <w:p w14:paraId="0C75A90D">
      <w:pPr>
        <w:spacing w:line="480" w:lineRule="auto"/>
        <w:ind w:firstLine="600" w:firstLineChars="200"/>
        <w:rPr>
          <w:rFonts w:ascii="仿宋" w:hAnsi="仿宋" w:eastAsia="仿宋" w:cs="仿宋"/>
          <w:szCs w:val="30"/>
        </w:rPr>
      </w:pPr>
      <w:r>
        <w:rPr>
          <w:rFonts w:hint="eastAsia" w:ascii="仿宋" w:hAnsi="仿宋" w:eastAsia="仿宋" w:cs="仿宋"/>
          <w:szCs w:val="30"/>
        </w:rPr>
        <w:t>法定代表人（或经营者）或授权代表：</w:t>
      </w:r>
      <w:r>
        <w:rPr>
          <w:rFonts w:hint="eastAsia" w:ascii="仿宋" w:hAnsi="仿宋" w:eastAsia="仿宋" w:cs="仿宋"/>
          <w:szCs w:val="30"/>
          <w:u w:val="single"/>
        </w:rPr>
        <w:t>（签字）  </w:t>
      </w:r>
    </w:p>
    <w:p w14:paraId="67D0CCCF">
      <w:pPr>
        <w:spacing w:line="480" w:lineRule="auto"/>
        <w:ind w:firstLine="600" w:firstLineChars="200"/>
        <w:rPr>
          <w:rFonts w:ascii="仿宋" w:hAnsi="仿宋" w:eastAsia="仿宋" w:cs="仿宋"/>
          <w:szCs w:val="30"/>
        </w:rPr>
      </w:pPr>
      <w:r>
        <w:rPr>
          <w:rFonts w:hint="eastAsia" w:ascii="仿宋" w:hAnsi="仿宋" w:eastAsia="仿宋" w:cs="仿宋"/>
          <w:szCs w:val="30"/>
        </w:rPr>
        <w:t>日期：</w:t>
      </w:r>
      <w:r>
        <w:rPr>
          <w:rFonts w:hint="eastAsia" w:ascii="仿宋" w:hAnsi="仿宋" w:eastAsia="仿宋" w:cs="仿宋"/>
          <w:szCs w:val="30"/>
          <w:u w:val="single"/>
        </w:rPr>
        <w:t>　　年　　月　　日　</w:t>
      </w:r>
    </w:p>
    <w:p w14:paraId="58EA879A">
      <w:pPr>
        <w:rPr>
          <w:rFonts w:ascii="仿宋" w:hAnsi="仿宋" w:eastAsia="仿宋" w:cs="仿宋"/>
          <w:szCs w:val="30"/>
        </w:rPr>
      </w:pPr>
      <w:r>
        <w:rPr>
          <w:rFonts w:hint="eastAsia" w:ascii="仿宋" w:hAnsi="仿宋" w:eastAsia="仿宋" w:cs="仿宋"/>
          <w:szCs w:val="30"/>
        </w:rPr>
        <w:br w:type="page"/>
      </w:r>
    </w:p>
    <w:p w14:paraId="4F210163">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附件5：</w:t>
      </w:r>
    </w:p>
    <w:p w14:paraId="324AE5F7">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项目报价表</w:t>
      </w:r>
    </w:p>
    <w:tbl>
      <w:tblPr>
        <w:tblStyle w:val="15"/>
        <w:tblW w:w="10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
        <w:gridCol w:w="565"/>
        <w:gridCol w:w="1276"/>
        <w:gridCol w:w="1134"/>
        <w:gridCol w:w="1134"/>
        <w:gridCol w:w="851"/>
        <w:gridCol w:w="703"/>
        <w:gridCol w:w="856"/>
        <w:gridCol w:w="823"/>
        <w:gridCol w:w="823"/>
        <w:gridCol w:w="823"/>
        <w:gridCol w:w="765"/>
      </w:tblGrid>
      <w:tr w14:paraId="2F6C0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388" w:type="dxa"/>
            <w:noWrap/>
            <w:vAlign w:val="center"/>
          </w:tcPr>
          <w:p w14:paraId="032CD428">
            <w:pPr>
              <w:widowControl/>
              <w:jc w:val="center"/>
              <w:textAlignment w:val="center"/>
              <w:rPr>
                <w:rFonts w:ascii="仿宋" w:hAnsi="仿宋" w:eastAsia="仿宋" w:cs="仿宋"/>
                <w:b/>
                <w:bCs/>
                <w:kern w:val="0"/>
                <w:sz w:val="21"/>
                <w:szCs w:val="21"/>
                <w:lang w:bidi="ar"/>
              </w:rPr>
            </w:pPr>
            <w:r>
              <w:rPr>
                <w:rFonts w:hint="eastAsia" w:ascii="仿宋" w:hAnsi="仿宋" w:eastAsia="仿宋" w:cs="仿宋"/>
                <w:b/>
                <w:bCs/>
                <w:kern w:val="0"/>
                <w:sz w:val="21"/>
                <w:szCs w:val="21"/>
                <w:lang w:bidi="ar"/>
              </w:rPr>
              <w:t>序号</w:t>
            </w:r>
          </w:p>
        </w:tc>
        <w:tc>
          <w:tcPr>
            <w:tcW w:w="565" w:type="dxa"/>
            <w:noWrap/>
            <w:vAlign w:val="center"/>
          </w:tcPr>
          <w:p w14:paraId="6986C6F7">
            <w:pPr>
              <w:widowControl/>
              <w:jc w:val="center"/>
              <w:textAlignment w:val="center"/>
              <w:rPr>
                <w:rFonts w:ascii="仿宋" w:hAnsi="仿宋" w:eastAsia="仿宋" w:cs="仿宋"/>
                <w:b/>
                <w:bCs/>
                <w:kern w:val="0"/>
                <w:sz w:val="21"/>
                <w:szCs w:val="21"/>
                <w:lang w:bidi="ar"/>
              </w:rPr>
            </w:pPr>
            <w:r>
              <w:rPr>
                <w:rFonts w:hint="eastAsia" w:ascii="仿宋" w:hAnsi="仿宋" w:eastAsia="仿宋" w:cs="仿宋"/>
                <w:b/>
                <w:bCs/>
                <w:kern w:val="0"/>
                <w:sz w:val="21"/>
                <w:szCs w:val="21"/>
                <w:lang w:bidi="ar"/>
              </w:rPr>
              <w:t>校区</w:t>
            </w:r>
          </w:p>
        </w:tc>
        <w:tc>
          <w:tcPr>
            <w:tcW w:w="1276" w:type="dxa"/>
            <w:noWrap/>
            <w:vAlign w:val="center"/>
          </w:tcPr>
          <w:p w14:paraId="7A5D0206">
            <w:pPr>
              <w:widowControl/>
              <w:jc w:val="center"/>
              <w:textAlignment w:val="center"/>
              <w:rPr>
                <w:rFonts w:ascii="仿宋" w:hAnsi="仿宋" w:eastAsia="仿宋" w:cs="仿宋"/>
                <w:b/>
                <w:bCs/>
                <w:kern w:val="0"/>
                <w:sz w:val="21"/>
                <w:szCs w:val="21"/>
                <w:lang w:bidi="ar"/>
              </w:rPr>
            </w:pPr>
            <w:r>
              <w:rPr>
                <w:rFonts w:hint="eastAsia" w:ascii="仿宋" w:hAnsi="仿宋" w:eastAsia="仿宋" w:cs="仿宋"/>
                <w:b/>
                <w:bCs/>
                <w:kern w:val="0"/>
                <w:sz w:val="21"/>
                <w:szCs w:val="21"/>
                <w:lang w:bidi="ar"/>
              </w:rPr>
              <w:t>电梯安装位置</w:t>
            </w:r>
          </w:p>
        </w:tc>
        <w:tc>
          <w:tcPr>
            <w:tcW w:w="1134" w:type="dxa"/>
            <w:noWrap/>
            <w:vAlign w:val="center"/>
          </w:tcPr>
          <w:p w14:paraId="487041EA">
            <w:pPr>
              <w:widowControl/>
              <w:jc w:val="center"/>
              <w:textAlignment w:val="center"/>
              <w:rPr>
                <w:rFonts w:ascii="仿宋" w:hAnsi="仿宋" w:eastAsia="仿宋" w:cs="仿宋"/>
                <w:b/>
                <w:bCs/>
                <w:kern w:val="0"/>
                <w:sz w:val="21"/>
                <w:szCs w:val="21"/>
                <w:lang w:bidi="ar"/>
              </w:rPr>
            </w:pPr>
            <w:r>
              <w:rPr>
                <w:rFonts w:hint="eastAsia" w:ascii="仿宋" w:hAnsi="仿宋" w:eastAsia="仿宋" w:cs="仿宋"/>
                <w:b/>
                <w:bCs/>
                <w:kern w:val="0"/>
                <w:sz w:val="21"/>
                <w:szCs w:val="21"/>
                <w:lang w:bidi="ar"/>
              </w:rPr>
              <w:t>制造单位名称</w:t>
            </w:r>
          </w:p>
        </w:tc>
        <w:tc>
          <w:tcPr>
            <w:tcW w:w="1134" w:type="dxa"/>
            <w:noWrap/>
            <w:vAlign w:val="center"/>
          </w:tcPr>
          <w:p w14:paraId="621FCCEF">
            <w:pPr>
              <w:widowControl/>
              <w:jc w:val="center"/>
              <w:textAlignment w:val="center"/>
              <w:rPr>
                <w:rFonts w:ascii="仿宋" w:hAnsi="仿宋" w:eastAsia="仿宋" w:cs="仿宋"/>
                <w:b/>
                <w:bCs/>
                <w:sz w:val="21"/>
                <w:szCs w:val="21"/>
              </w:rPr>
            </w:pPr>
            <w:r>
              <w:rPr>
                <w:rFonts w:hint="eastAsia" w:ascii="仿宋" w:hAnsi="仿宋" w:eastAsia="仿宋" w:cs="仿宋"/>
                <w:b/>
                <w:bCs/>
                <w:kern w:val="0"/>
                <w:sz w:val="21"/>
                <w:szCs w:val="21"/>
                <w:lang w:bidi="ar"/>
              </w:rPr>
              <w:t>设备代码</w:t>
            </w:r>
          </w:p>
        </w:tc>
        <w:tc>
          <w:tcPr>
            <w:tcW w:w="851" w:type="dxa"/>
            <w:noWrap/>
            <w:vAlign w:val="center"/>
          </w:tcPr>
          <w:p w14:paraId="38137D2D">
            <w:pPr>
              <w:widowControl/>
              <w:jc w:val="center"/>
              <w:textAlignment w:val="center"/>
              <w:rPr>
                <w:rFonts w:ascii="仿宋" w:hAnsi="仿宋" w:eastAsia="仿宋" w:cs="仿宋"/>
                <w:b/>
                <w:bCs/>
                <w:kern w:val="0"/>
                <w:sz w:val="21"/>
                <w:szCs w:val="21"/>
                <w:lang w:bidi="ar"/>
              </w:rPr>
            </w:pPr>
            <w:r>
              <w:rPr>
                <w:rFonts w:hint="eastAsia" w:ascii="仿宋" w:hAnsi="仿宋" w:eastAsia="仿宋" w:cs="仿宋"/>
                <w:b/>
                <w:bCs/>
                <w:kern w:val="0"/>
                <w:sz w:val="21"/>
                <w:szCs w:val="21"/>
                <w:lang w:bidi="ar"/>
              </w:rPr>
              <w:t>额定载重量(kg)</w:t>
            </w:r>
          </w:p>
        </w:tc>
        <w:tc>
          <w:tcPr>
            <w:tcW w:w="703" w:type="dxa"/>
            <w:noWrap/>
            <w:vAlign w:val="center"/>
          </w:tcPr>
          <w:p w14:paraId="4639ED2D">
            <w:pPr>
              <w:widowControl/>
              <w:jc w:val="center"/>
              <w:textAlignment w:val="center"/>
              <w:rPr>
                <w:rFonts w:ascii="仿宋" w:hAnsi="仿宋" w:eastAsia="仿宋" w:cs="仿宋"/>
                <w:b/>
                <w:bCs/>
                <w:kern w:val="0"/>
                <w:sz w:val="21"/>
                <w:szCs w:val="21"/>
                <w:lang w:bidi="ar"/>
              </w:rPr>
            </w:pPr>
            <w:r>
              <w:rPr>
                <w:rFonts w:hint="eastAsia" w:ascii="仿宋" w:hAnsi="仿宋" w:eastAsia="仿宋" w:cs="仿宋"/>
                <w:b/>
                <w:bCs/>
                <w:kern w:val="0"/>
                <w:sz w:val="21"/>
                <w:szCs w:val="21"/>
                <w:lang w:bidi="ar"/>
              </w:rPr>
              <w:t>额定速度m/s</w:t>
            </w:r>
          </w:p>
        </w:tc>
        <w:tc>
          <w:tcPr>
            <w:tcW w:w="856" w:type="dxa"/>
            <w:noWrap/>
            <w:vAlign w:val="center"/>
          </w:tcPr>
          <w:p w14:paraId="4C550A0C">
            <w:pPr>
              <w:widowControl/>
              <w:jc w:val="center"/>
              <w:textAlignment w:val="center"/>
              <w:rPr>
                <w:rFonts w:ascii="仿宋" w:hAnsi="仿宋" w:eastAsia="仿宋" w:cs="仿宋"/>
                <w:b/>
                <w:bCs/>
                <w:kern w:val="0"/>
                <w:sz w:val="21"/>
                <w:szCs w:val="21"/>
                <w:lang w:bidi="ar"/>
              </w:rPr>
            </w:pPr>
            <w:r>
              <w:rPr>
                <w:rFonts w:hint="eastAsia" w:ascii="仿宋" w:hAnsi="仿宋" w:eastAsia="仿宋" w:cs="仿宋"/>
                <w:b/>
                <w:bCs/>
                <w:kern w:val="0"/>
                <w:sz w:val="21"/>
                <w:szCs w:val="21"/>
                <w:lang w:bidi="ar"/>
              </w:rPr>
              <w:t>层站门数</w:t>
            </w:r>
          </w:p>
        </w:tc>
        <w:tc>
          <w:tcPr>
            <w:tcW w:w="823" w:type="dxa"/>
            <w:noWrap/>
            <w:vAlign w:val="center"/>
          </w:tcPr>
          <w:p w14:paraId="37DE474E">
            <w:pPr>
              <w:widowControl/>
              <w:jc w:val="center"/>
              <w:textAlignment w:val="center"/>
              <w:rPr>
                <w:rFonts w:ascii="仿宋" w:hAnsi="仿宋" w:eastAsia="仿宋" w:cs="仿宋"/>
                <w:b/>
                <w:bCs/>
                <w:kern w:val="0"/>
                <w:sz w:val="21"/>
                <w:szCs w:val="21"/>
                <w:lang w:bidi="ar"/>
              </w:rPr>
            </w:pPr>
            <w:r>
              <w:rPr>
                <w:rFonts w:hint="eastAsia" w:ascii="仿宋" w:hAnsi="仿宋" w:eastAsia="仿宋" w:cs="仿宋"/>
                <w:b/>
                <w:bCs/>
                <w:kern w:val="0"/>
                <w:sz w:val="21"/>
                <w:szCs w:val="21"/>
                <w:lang w:bidi="ar"/>
              </w:rPr>
              <w:t>维保期限</w:t>
            </w:r>
          </w:p>
        </w:tc>
        <w:tc>
          <w:tcPr>
            <w:tcW w:w="823" w:type="dxa"/>
            <w:noWrap/>
            <w:vAlign w:val="center"/>
          </w:tcPr>
          <w:p w14:paraId="011F3D12">
            <w:pPr>
              <w:widowControl/>
              <w:jc w:val="center"/>
              <w:textAlignment w:val="center"/>
              <w:rPr>
                <w:rFonts w:hint="eastAsia" w:ascii="仿宋" w:hAnsi="仿宋" w:eastAsia="仿宋" w:cs="仿宋"/>
                <w:b/>
                <w:bCs/>
                <w:kern w:val="0"/>
                <w:sz w:val="21"/>
                <w:szCs w:val="21"/>
                <w:lang w:bidi="ar"/>
              </w:rPr>
            </w:pPr>
            <w:r>
              <w:rPr>
                <w:rFonts w:hint="eastAsia" w:ascii="仿宋" w:hAnsi="仿宋" w:eastAsia="仿宋" w:cs="仿宋"/>
                <w:b/>
                <w:bCs/>
                <w:kern w:val="0"/>
                <w:sz w:val="21"/>
                <w:szCs w:val="21"/>
                <w:lang w:bidi="ar"/>
              </w:rPr>
              <w:t>维保时长</w:t>
            </w:r>
          </w:p>
        </w:tc>
        <w:tc>
          <w:tcPr>
            <w:tcW w:w="823" w:type="dxa"/>
            <w:noWrap/>
            <w:vAlign w:val="center"/>
          </w:tcPr>
          <w:p w14:paraId="0ED8670A">
            <w:pPr>
              <w:widowControl/>
              <w:jc w:val="center"/>
              <w:textAlignment w:val="center"/>
              <w:rPr>
                <w:rFonts w:ascii="仿宋" w:hAnsi="仿宋" w:eastAsia="仿宋" w:cs="仿宋"/>
                <w:b/>
                <w:bCs/>
                <w:sz w:val="21"/>
                <w:szCs w:val="21"/>
              </w:rPr>
            </w:pPr>
            <w:r>
              <w:rPr>
                <w:rFonts w:hint="eastAsia" w:ascii="仿宋" w:hAnsi="仿宋" w:eastAsia="仿宋" w:cs="仿宋"/>
                <w:b/>
                <w:bCs/>
                <w:kern w:val="0"/>
                <w:sz w:val="21"/>
                <w:szCs w:val="21"/>
                <w:lang w:bidi="ar"/>
              </w:rPr>
              <w:t>单价/月（元）</w:t>
            </w:r>
          </w:p>
        </w:tc>
        <w:tc>
          <w:tcPr>
            <w:tcW w:w="765" w:type="dxa"/>
            <w:noWrap/>
            <w:vAlign w:val="center"/>
          </w:tcPr>
          <w:p w14:paraId="69F55683">
            <w:pPr>
              <w:widowControl/>
              <w:jc w:val="center"/>
              <w:textAlignment w:val="center"/>
              <w:rPr>
                <w:rFonts w:ascii="仿宋" w:hAnsi="仿宋" w:eastAsia="仿宋" w:cs="仿宋"/>
                <w:b/>
                <w:bCs/>
                <w:sz w:val="21"/>
                <w:szCs w:val="21"/>
              </w:rPr>
            </w:pPr>
            <w:r>
              <w:rPr>
                <w:rFonts w:hint="eastAsia" w:ascii="仿宋" w:hAnsi="仿宋" w:eastAsia="仿宋" w:cs="仿宋"/>
                <w:b/>
                <w:bCs/>
                <w:kern w:val="0"/>
                <w:sz w:val="21"/>
                <w:szCs w:val="21"/>
                <w:lang w:val="en-US" w:eastAsia="zh-CN" w:bidi="ar"/>
              </w:rPr>
              <w:t>小</w:t>
            </w:r>
            <w:r>
              <w:rPr>
                <w:rFonts w:hint="eastAsia" w:ascii="仿宋" w:hAnsi="仿宋" w:eastAsia="仿宋" w:cs="仿宋"/>
                <w:b/>
                <w:bCs/>
                <w:kern w:val="0"/>
                <w:sz w:val="21"/>
                <w:szCs w:val="21"/>
                <w:lang w:bidi="ar"/>
              </w:rPr>
              <w:t>计金额</w:t>
            </w:r>
            <w:r>
              <w:rPr>
                <w:rFonts w:hint="eastAsia" w:ascii="仿宋" w:hAnsi="仿宋" w:eastAsia="仿宋" w:cs="仿宋"/>
                <w:b/>
                <w:bCs/>
                <w:kern w:val="0"/>
                <w:sz w:val="21"/>
                <w:szCs w:val="21"/>
                <w:lang w:eastAsia="zh-CN" w:bidi="ar"/>
              </w:rPr>
              <w:t>（</w:t>
            </w:r>
            <w:r>
              <w:rPr>
                <w:rFonts w:hint="eastAsia" w:ascii="仿宋" w:hAnsi="仿宋" w:eastAsia="仿宋" w:cs="仿宋"/>
                <w:b/>
                <w:bCs/>
                <w:kern w:val="0"/>
                <w:sz w:val="21"/>
                <w:szCs w:val="21"/>
                <w:lang w:bidi="ar"/>
              </w:rPr>
              <w:t>单价*</w:t>
            </w:r>
            <w:r>
              <w:rPr>
                <w:rFonts w:hint="eastAsia" w:ascii="仿宋" w:hAnsi="仿宋" w:eastAsia="仿宋" w:cs="仿宋"/>
                <w:b/>
                <w:bCs/>
                <w:kern w:val="0"/>
                <w:sz w:val="21"/>
                <w:szCs w:val="21"/>
                <w:lang w:val="en-US" w:eastAsia="zh-CN" w:bidi="ar"/>
              </w:rPr>
              <w:t>月数</w:t>
            </w:r>
            <w:r>
              <w:rPr>
                <w:rFonts w:hint="eastAsia" w:ascii="仿宋" w:hAnsi="仿宋" w:eastAsia="仿宋" w:cs="仿宋"/>
                <w:b/>
                <w:bCs/>
                <w:kern w:val="0"/>
                <w:sz w:val="21"/>
                <w:szCs w:val="21"/>
                <w:lang w:eastAsia="zh-CN" w:bidi="ar"/>
              </w:rPr>
              <w:t>）</w:t>
            </w:r>
            <w:r>
              <w:rPr>
                <w:rFonts w:hint="eastAsia" w:ascii="仿宋" w:hAnsi="仿宋" w:eastAsia="仿宋" w:cs="仿宋"/>
                <w:b/>
                <w:bCs/>
                <w:kern w:val="0"/>
                <w:sz w:val="21"/>
                <w:szCs w:val="21"/>
                <w:lang w:bidi="ar"/>
              </w:rPr>
              <w:t>（元）</w:t>
            </w:r>
          </w:p>
        </w:tc>
      </w:tr>
      <w:tr w14:paraId="75F9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 w:type="dxa"/>
            <w:noWrap/>
            <w:vAlign w:val="center"/>
          </w:tcPr>
          <w:p w14:paraId="77F7D281">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w:t>
            </w:r>
          </w:p>
        </w:tc>
        <w:tc>
          <w:tcPr>
            <w:tcW w:w="565" w:type="dxa"/>
            <w:vMerge w:val="restart"/>
            <w:noWrap/>
            <w:vAlign w:val="center"/>
          </w:tcPr>
          <w:p w14:paraId="7D354DC8">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潮连校区</w:t>
            </w:r>
          </w:p>
        </w:tc>
        <w:tc>
          <w:tcPr>
            <w:tcW w:w="1276" w:type="dxa"/>
            <w:noWrap/>
            <w:vAlign w:val="center"/>
          </w:tcPr>
          <w:p w14:paraId="54382512">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综合楼A梯</w:t>
            </w:r>
          </w:p>
        </w:tc>
        <w:tc>
          <w:tcPr>
            <w:tcW w:w="1134" w:type="dxa"/>
            <w:noWrap/>
            <w:vAlign w:val="center"/>
          </w:tcPr>
          <w:p w14:paraId="6F37AF3B">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广州广日电梯工业有限公司</w:t>
            </w:r>
          </w:p>
        </w:tc>
        <w:tc>
          <w:tcPr>
            <w:tcW w:w="1134" w:type="dxa"/>
            <w:noWrap/>
            <w:vAlign w:val="center"/>
          </w:tcPr>
          <w:p w14:paraId="41C297EC">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31104407002021030106</w:t>
            </w:r>
          </w:p>
        </w:tc>
        <w:tc>
          <w:tcPr>
            <w:tcW w:w="851" w:type="dxa"/>
            <w:noWrap/>
            <w:vAlign w:val="center"/>
          </w:tcPr>
          <w:p w14:paraId="2D38B12B">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1050</w:t>
            </w:r>
          </w:p>
        </w:tc>
        <w:tc>
          <w:tcPr>
            <w:tcW w:w="703" w:type="dxa"/>
            <w:noWrap/>
            <w:vAlign w:val="center"/>
          </w:tcPr>
          <w:p w14:paraId="59925DF9">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1.5</w:t>
            </w:r>
          </w:p>
        </w:tc>
        <w:tc>
          <w:tcPr>
            <w:tcW w:w="856" w:type="dxa"/>
            <w:noWrap/>
            <w:vAlign w:val="center"/>
          </w:tcPr>
          <w:p w14:paraId="4CA0AD87">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8层8站8门</w:t>
            </w:r>
          </w:p>
        </w:tc>
        <w:tc>
          <w:tcPr>
            <w:tcW w:w="823" w:type="dxa"/>
            <w:noWrap/>
            <w:vAlign w:val="center"/>
          </w:tcPr>
          <w:p w14:paraId="4F58F409">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2026.1.12-2028.7.31</w:t>
            </w:r>
          </w:p>
        </w:tc>
        <w:tc>
          <w:tcPr>
            <w:tcW w:w="823" w:type="dxa"/>
            <w:noWrap/>
            <w:vAlign w:val="center"/>
          </w:tcPr>
          <w:p w14:paraId="328C6E7D">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30个月20天</w:t>
            </w:r>
          </w:p>
        </w:tc>
        <w:tc>
          <w:tcPr>
            <w:tcW w:w="823" w:type="dxa"/>
            <w:noWrap/>
            <w:vAlign w:val="center"/>
          </w:tcPr>
          <w:p w14:paraId="6E6F1CB4">
            <w:pPr>
              <w:widowControl/>
              <w:jc w:val="center"/>
              <w:textAlignment w:val="center"/>
              <w:rPr>
                <w:rFonts w:ascii="仿宋" w:hAnsi="仿宋" w:eastAsia="仿宋" w:cs="仿宋"/>
                <w:kern w:val="0"/>
                <w:sz w:val="21"/>
                <w:szCs w:val="21"/>
                <w:lang w:bidi="ar"/>
              </w:rPr>
            </w:pPr>
          </w:p>
        </w:tc>
        <w:tc>
          <w:tcPr>
            <w:tcW w:w="765" w:type="dxa"/>
            <w:noWrap/>
            <w:vAlign w:val="center"/>
          </w:tcPr>
          <w:p w14:paraId="567941D7">
            <w:pPr>
              <w:widowControl/>
              <w:jc w:val="center"/>
              <w:textAlignment w:val="center"/>
              <w:rPr>
                <w:rFonts w:ascii="仿宋" w:hAnsi="仿宋" w:eastAsia="仿宋" w:cs="仿宋"/>
                <w:kern w:val="0"/>
                <w:sz w:val="21"/>
                <w:szCs w:val="21"/>
                <w:lang w:bidi="ar"/>
              </w:rPr>
            </w:pPr>
          </w:p>
        </w:tc>
      </w:tr>
      <w:tr w14:paraId="3015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 w:type="dxa"/>
            <w:noWrap/>
            <w:vAlign w:val="center"/>
          </w:tcPr>
          <w:p w14:paraId="1AD73CF1">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2</w:t>
            </w:r>
          </w:p>
        </w:tc>
        <w:tc>
          <w:tcPr>
            <w:tcW w:w="565" w:type="dxa"/>
            <w:vMerge w:val="continue"/>
            <w:noWrap/>
            <w:vAlign w:val="center"/>
          </w:tcPr>
          <w:p w14:paraId="3039E4B7">
            <w:pPr>
              <w:widowControl/>
              <w:jc w:val="center"/>
              <w:textAlignment w:val="center"/>
              <w:rPr>
                <w:rFonts w:ascii="仿宋" w:hAnsi="仿宋" w:eastAsia="仿宋" w:cs="仿宋"/>
                <w:kern w:val="0"/>
                <w:sz w:val="21"/>
                <w:szCs w:val="21"/>
                <w:lang w:bidi="ar"/>
              </w:rPr>
            </w:pPr>
          </w:p>
        </w:tc>
        <w:tc>
          <w:tcPr>
            <w:tcW w:w="1276" w:type="dxa"/>
            <w:noWrap/>
            <w:vAlign w:val="center"/>
          </w:tcPr>
          <w:p w14:paraId="2C04D885">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综合楼B梯</w:t>
            </w:r>
          </w:p>
        </w:tc>
        <w:tc>
          <w:tcPr>
            <w:tcW w:w="1134" w:type="dxa"/>
            <w:noWrap/>
            <w:vAlign w:val="center"/>
          </w:tcPr>
          <w:p w14:paraId="39660E99">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广州广日电梯工业有限公司</w:t>
            </w:r>
          </w:p>
        </w:tc>
        <w:tc>
          <w:tcPr>
            <w:tcW w:w="1134" w:type="dxa"/>
            <w:noWrap/>
            <w:vAlign w:val="center"/>
          </w:tcPr>
          <w:p w14:paraId="07A09B46">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31104407002021050036</w:t>
            </w:r>
          </w:p>
        </w:tc>
        <w:tc>
          <w:tcPr>
            <w:tcW w:w="851" w:type="dxa"/>
            <w:noWrap/>
            <w:vAlign w:val="center"/>
          </w:tcPr>
          <w:p w14:paraId="5456C2B4">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1050</w:t>
            </w:r>
          </w:p>
        </w:tc>
        <w:tc>
          <w:tcPr>
            <w:tcW w:w="703" w:type="dxa"/>
            <w:noWrap/>
            <w:vAlign w:val="center"/>
          </w:tcPr>
          <w:p w14:paraId="589A52CF">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1.5</w:t>
            </w:r>
          </w:p>
        </w:tc>
        <w:tc>
          <w:tcPr>
            <w:tcW w:w="856" w:type="dxa"/>
            <w:noWrap/>
            <w:vAlign w:val="center"/>
          </w:tcPr>
          <w:p w14:paraId="27F2A313">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8层8站8门</w:t>
            </w:r>
          </w:p>
        </w:tc>
        <w:tc>
          <w:tcPr>
            <w:tcW w:w="823" w:type="dxa"/>
            <w:noWrap/>
            <w:vAlign w:val="center"/>
          </w:tcPr>
          <w:p w14:paraId="3154D98E">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2026.3.16-2028.7.31</w:t>
            </w:r>
          </w:p>
        </w:tc>
        <w:tc>
          <w:tcPr>
            <w:tcW w:w="823" w:type="dxa"/>
            <w:noWrap/>
            <w:vAlign w:val="center"/>
          </w:tcPr>
          <w:p w14:paraId="1DD33564">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28个月16天</w:t>
            </w:r>
          </w:p>
        </w:tc>
        <w:tc>
          <w:tcPr>
            <w:tcW w:w="823" w:type="dxa"/>
            <w:noWrap/>
            <w:vAlign w:val="center"/>
          </w:tcPr>
          <w:p w14:paraId="23B34D37">
            <w:pPr>
              <w:widowControl/>
              <w:jc w:val="center"/>
              <w:textAlignment w:val="center"/>
              <w:rPr>
                <w:rFonts w:ascii="仿宋" w:hAnsi="仿宋" w:eastAsia="仿宋" w:cs="仿宋"/>
                <w:kern w:val="0"/>
                <w:sz w:val="21"/>
                <w:szCs w:val="21"/>
                <w:lang w:bidi="ar"/>
              </w:rPr>
            </w:pPr>
          </w:p>
        </w:tc>
        <w:tc>
          <w:tcPr>
            <w:tcW w:w="765" w:type="dxa"/>
            <w:noWrap/>
            <w:vAlign w:val="center"/>
          </w:tcPr>
          <w:p w14:paraId="048C3FF2">
            <w:pPr>
              <w:widowControl/>
              <w:jc w:val="center"/>
              <w:textAlignment w:val="center"/>
              <w:rPr>
                <w:rFonts w:ascii="仿宋" w:hAnsi="仿宋" w:eastAsia="仿宋" w:cs="仿宋"/>
                <w:kern w:val="0"/>
                <w:sz w:val="21"/>
                <w:szCs w:val="21"/>
                <w:lang w:bidi="ar"/>
              </w:rPr>
            </w:pPr>
          </w:p>
        </w:tc>
      </w:tr>
      <w:tr w14:paraId="46331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88" w:type="dxa"/>
            <w:noWrap/>
            <w:vAlign w:val="center"/>
          </w:tcPr>
          <w:p w14:paraId="7C7B8EB2">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3</w:t>
            </w:r>
          </w:p>
        </w:tc>
        <w:tc>
          <w:tcPr>
            <w:tcW w:w="565" w:type="dxa"/>
            <w:vMerge w:val="continue"/>
            <w:noWrap/>
            <w:vAlign w:val="center"/>
          </w:tcPr>
          <w:p w14:paraId="289F22B4">
            <w:pPr>
              <w:widowControl/>
              <w:jc w:val="center"/>
              <w:textAlignment w:val="center"/>
              <w:rPr>
                <w:rFonts w:ascii="仿宋" w:hAnsi="仿宋" w:eastAsia="仿宋" w:cs="仿宋"/>
                <w:kern w:val="0"/>
                <w:sz w:val="21"/>
                <w:szCs w:val="21"/>
                <w:lang w:bidi="ar"/>
              </w:rPr>
            </w:pPr>
          </w:p>
        </w:tc>
        <w:tc>
          <w:tcPr>
            <w:tcW w:w="1276" w:type="dxa"/>
            <w:noWrap/>
            <w:vAlign w:val="center"/>
          </w:tcPr>
          <w:p w14:paraId="7919564F">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方君学实训楼1#引驱动载货电梯</w:t>
            </w:r>
          </w:p>
        </w:tc>
        <w:tc>
          <w:tcPr>
            <w:tcW w:w="1134" w:type="dxa"/>
            <w:noWrap/>
            <w:vAlign w:val="center"/>
          </w:tcPr>
          <w:p w14:paraId="72FE5D0E">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上海三菱电梯有限公司</w:t>
            </w:r>
          </w:p>
        </w:tc>
        <w:tc>
          <w:tcPr>
            <w:tcW w:w="1134" w:type="dxa"/>
            <w:noWrap/>
            <w:vAlign w:val="center"/>
          </w:tcPr>
          <w:p w14:paraId="29264BEB">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31204407002024070277</w:t>
            </w:r>
          </w:p>
        </w:tc>
        <w:tc>
          <w:tcPr>
            <w:tcW w:w="851" w:type="dxa"/>
            <w:noWrap/>
            <w:vAlign w:val="center"/>
          </w:tcPr>
          <w:p w14:paraId="1D73CBB3">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10000</w:t>
            </w:r>
          </w:p>
        </w:tc>
        <w:tc>
          <w:tcPr>
            <w:tcW w:w="703" w:type="dxa"/>
            <w:noWrap/>
            <w:vAlign w:val="center"/>
          </w:tcPr>
          <w:p w14:paraId="3683F47E">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0.5</w:t>
            </w:r>
          </w:p>
        </w:tc>
        <w:tc>
          <w:tcPr>
            <w:tcW w:w="856" w:type="dxa"/>
            <w:noWrap/>
            <w:vAlign w:val="center"/>
          </w:tcPr>
          <w:p w14:paraId="7A13BF99">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6层6站6门</w:t>
            </w:r>
          </w:p>
        </w:tc>
        <w:tc>
          <w:tcPr>
            <w:tcW w:w="823" w:type="dxa"/>
            <w:noWrap/>
            <w:vAlign w:val="center"/>
          </w:tcPr>
          <w:p w14:paraId="28286C29">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2026.7.20-2028.7.31</w:t>
            </w:r>
          </w:p>
        </w:tc>
        <w:tc>
          <w:tcPr>
            <w:tcW w:w="823" w:type="dxa"/>
            <w:noWrap/>
            <w:vAlign w:val="center"/>
          </w:tcPr>
          <w:p w14:paraId="6895419C">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24个月12天</w:t>
            </w:r>
          </w:p>
        </w:tc>
        <w:tc>
          <w:tcPr>
            <w:tcW w:w="823" w:type="dxa"/>
            <w:noWrap/>
            <w:vAlign w:val="center"/>
          </w:tcPr>
          <w:p w14:paraId="3C3CA6CB">
            <w:pPr>
              <w:widowControl/>
              <w:jc w:val="center"/>
              <w:textAlignment w:val="center"/>
              <w:rPr>
                <w:rFonts w:ascii="仿宋" w:hAnsi="仿宋" w:eastAsia="仿宋" w:cs="仿宋"/>
                <w:kern w:val="0"/>
                <w:sz w:val="21"/>
                <w:szCs w:val="21"/>
                <w:lang w:bidi="ar"/>
              </w:rPr>
            </w:pPr>
          </w:p>
        </w:tc>
        <w:tc>
          <w:tcPr>
            <w:tcW w:w="765" w:type="dxa"/>
            <w:noWrap/>
            <w:vAlign w:val="center"/>
          </w:tcPr>
          <w:p w14:paraId="3078974B">
            <w:pPr>
              <w:widowControl/>
              <w:jc w:val="center"/>
              <w:textAlignment w:val="center"/>
              <w:rPr>
                <w:rFonts w:ascii="仿宋" w:hAnsi="仿宋" w:eastAsia="仿宋" w:cs="仿宋"/>
                <w:kern w:val="0"/>
                <w:sz w:val="21"/>
                <w:szCs w:val="21"/>
                <w:lang w:bidi="ar"/>
              </w:rPr>
            </w:pPr>
          </w:p>
        </w:tc>
      </w:tr>
      <w:tr w14:paraId="52B5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 w:type="dxa"/>
            <w:noWrap/>
            <w:vAlign w:val="center"/>
          </w:tcPr>
          <w:p w14:paraId="1A7C5F99">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4</w:t>
            </w:r>
          </w:p>
        </w:tc>
        <w:tc>
          <w:tcPr>
            <w:tcW w:w="565" w:type="dxa"/>
            <w:vMerge w:val="continue"/>
            <w:noWrap/>
            <w:vAlign w:val="center"/>
          </w:tcPr>
          <w:p w14:paraId="474D23E2">
            <w:pPr>
              <w:widowControl/>
              <w:jc w:val="center"/>
              <w:textAlignment w:val="center"/>
              <w:rPr>
                <w:rFonts w:ascii="仿宋" w:hAnsi="仿宋" w:eastAsia="仿宋" w:cs="仿宋"/>
                <w:kern w:val="0"/>
                <w:sz w:val="21"/>
                <w:szCs w:val="21"/>
                <w:lang w:bidi="ar"/>
              </w:rPr>
            </w:pPr>
          </w:p>
        </w:tc>
        <w:tc>
          <w:tcPr>
            <w:tcW w:w="1276" w:type="dxa"/>
            <w:noWrap/>
            <w:vAlign w:val="center"/>
          </w:tcPr>
          <w:p w14:paraId="6DA741C1">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中欧实训楼（新教学大楼）</w:t>
            </w:r>
          </w:p>
        </w:tc>
        <w:tc>
          <w:tcPr>
            <w:tcW w:w="1134" w:type="dxa"/>
            <w:noWrap/>
            <w:vAlign w:val="center"/>
          </w:tcPr>
          <w:p w14:paraId="5B58B13E">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广东威得利电梯有限公司</w:t>
            </w:r>
          </w:p>
        </w:tc>
        <w:tc>
          <w:tcPr>
            <w:tcW w:w="1134" w:type="dxa"/>
            <w:noWrap/>
            <w:vAlign w:val="center"/>
          </w:tcPr>
          <w:p w14:paraId="46ECCFEA">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32404407002017110001</w:t>
            </w:r>
          </w:p>
        </w:tc>
        <w:tc>
          <w:tcPr>
            <w:tcW w:w="851" w:type="dxa"/>
            <w:noWrap/>
            <w:vAlign w:val="center"/>
          </w:tcPr>
          <w:p w14:paraId="7EB59BCB">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3000</w:t>
            </w:r>
          </w:p>
        </w:tc>
        <w:tc>
          <w:tcPr>
            <w:tcW w:w="703" w:type="dxa"/>
            <w:noWrap/>
            <w:vAlign w:val="center"/>
          </w:tcPr>
          <w:p w14:paraId="2E32CB2F">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0.5</w:t>
            </w:r>
          </w:p>
        </w:tc>
        <w:tc>
          <w:tcPr>
            <w:tcW w:w="856" w:type="dxa"/>
            <w:noWrap/>
            <w:vAlign w:val="center"/>
          </w:tcPr>
          <w:p w14:paraId="35C6DD18">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6层6站6门</w:t>
            </w:r>
          </w:p>
        </w:tc>
        <w:tc>
          <w:tcPr>
            <w:tcW w:w="823" w:type="dxa"/>
            <w:noWrap/>
            <w:vAlign w:val="center"/>
          </w:tcPr>
          <w:p w14:paraId="0A464461">
            <w:pPr>
              <w:widowControl/>
              <w:jc w:val="center"/>
              <w:textAlignment w:val="center"/>
              <w:rPr>
                <w:rFonts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2025.10.</w:t>
            </w:r>
            <w:r>
              <w:rPr>
                <w:rFonts w:hint="eastAsia" w:ascii="仿宋" w:hAnsi="仿宋" w:eastAsia="仿宋" w:cs="仿宋"/>
                <w:color w:val="auto"/>
                <w:kern w:val="0"/>
                <w:sz w:val="21"/>
                <w:szCs w:val="21"/>
                <w:lang w:val="en-US" w:eastAsia="zh-CN" w:bidi="ar"/>
              </w:rPr>
              <w:t>2</w:t>
            </w:r>
            <w:r>
              <w:rPr>
                <w:rFonts w:hint="eastAsia" w:ascii="仿宋" w:hAnsi="仿宋" w:eastAsia="仿宋" w:cs="仿宋"/>
                <w:color w:val="auto"/>
                <w:kern w:val="0"/>
                <w:sz w:val="21"/>
                <w:szCs w:val="21"/>
                <w:lang w:bidi="ar"/>
              </w:rPr>
              <w:t>1-2028.7.31</w:t>
            </w:r>
          </w:p>
        </w:tc>
        <w:tc>
          <w:tcPr>
            <w:tcW w:w="823" w:type="dxa"/>
            <w:noWrap/>
            <w:vAlign w:val="center"/>
          </w:tcPr>
          <w:p w14:paraId="72F3E882">
            <w:pPr>
              <w:widowControl/>
              <w:jc w:val="center"/>
              <w:textAlignment w:val="center"/>
              <w:rPr>
                <w:rFonts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3</w:t>
            </w:r>
            <w:r>
              <w:rPr>
                <w:rFonts w:hint="eastAsia" w:ascii="仿宋" w:hAnsi="仿宋" w:eastAsia="仿宋" w:cs="仿宋"/>
                <w:color w:val="auto"/>
                <w:kern w:val="0"/>
                <w:sz w:val="21"/>
                <w:szCs w:val="21"/>
                <w:lang w:val="en-US" w:eastAsia="zh-CN" w:bidi="ar"/>
              </w:rPr>
              <w:t>3</w:t>
            </w:r>
            <w:r>
              <w:rPr>
                <w:rFonts w:hint="eastAsia" w:ascii="仿宋" w:hAnsi="仿宋" w:eastAsia="仿宋" w:cs="仿宋"/>
                <w:color w:val="auto"/>
                <w:kern w:val="0"/>
                <w:sz w:val="21"/>
                <w:szCs w:val="21"/>
                <w:lang w:bidi="ar"/>
              </w:rPr>
              <w:t>个月</w:t>
            </w:r>
            <w:r>
              <w:rPr>
                <w:rFonts w:hint="eastAsia" w:ascii="仿宋" w:hAnsi="仿宋" w:eastAsia="仿宋" w:cs="仿宋"/>
                <w:color w:val="auto"/>
                <w:kern w:val="0"/>
                <w:sz w:val="21"/>
                <w:szCs w:val="21"/>
                <w:lang w:val="en-US" w:eastAsia="zh-CN" w:bidi="ar"/>
              </w:rPr>
              <w:t>11天</w:t>
            </w:r>
          </w:p>
        </w:tc>
        <w:tc>
          <w:tcPr>
            <w:tcW w:w="823" w:type="dxa"/>
            <w:noWrap/>
            <w:vAlign w:val="center"/>
          </w:tcPr>
          <w:p w14:paraId="0F78E62F">
            <w:pPr>
              <w:widowControl/>
              <w:jc w:val="center"/>
              <w:textAlignment w:val="center"/>
              <w:rPr>
                <w:rFonts w:ascii="仿宋" w:hAnsi="仿宋" w:eastAsia="仿宋" w:cs="仿宋"/>
                <w:kern w:val="0"/>
                <w:sz w:val="21"/>
                <w:szCs w:val="21"/>
                <w:lang w:bidi="ar"/>
              </w:rPr>
            </w:pPr>
          </w:p>
        </w:tc>
        <w:tc>
          <w:tcPr>
            <w:tcW w:w="765" w:type="dxa"/>
            <w:noWrap/>
            <w:vAlign w:val="center"/>
          </w:tcPr>
          <w:p w14:paraId="4F5B178C">
            <w:pPr>
              <w:widowControl/>
              <w:jc w:val="center"/>
              <w:textAlignment w:val="center"/>
              <w:rPr>
                <w:rFonts w:ascii="仿宋" w:hAnsi="仿宋" w:eastAsia="仿宋" w:cs="仿宋"/>
                <w:kern w:val="0"/>
                <w:sz w:val="21"/>
                <w:szCs w:val="21"/>
                <w:lang w:bidi="ar"/>
              </w:rPr>
            </w:pPr>
          </w:p>
        </w:tc>
      </w:tr>
      <w:tr w14:paraId="5443B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 w:type="dxa"/>
            <w:noWrap/>
            <w:vAlign w:val="center"/>
          </w:tcPr>
          <w:p w14:paraId="191C45A1">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5</w:t>
            </w:r>
          </w:p>
        </w:tc>
        <w:tc>
          <w:tcPr>
            <w:tcW w:w="565" w:type="dxa"/>
            <w:vMerge w:val="restart"/>
            <w:noWrap/>
            <w:vAlign w:val="center"/>
          </w:tcPr>
          <w:p w14:paraId="0FA1698A">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荷塘校区</w:t>
            </w:r>
          </w:p>
        </w:tc>
        <w:tc>
          <w:tcPr>
            <w:tcW w:w="1276" w:type="dxa"/>
            <w:noWrap/>
            <w:vAlign w:val="center"/>
          </w:tcPr>
          <w:p w14:paraId="73682E85">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综合楼1#曳引驱动乘客电梯</w:t>
            </w:r>
          </w:p>
        </w:tc>
        <w:tc>
          <w:tcPr>
            <w:tcW w:w="1134" w:type="dxa"/>
            <w:noWrap/>
            <w:vAlign w:val="center"/>
          </w:tcPr>
          <w:p w14:paraId="07E01C48">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广州广日电梯工业有限公司</w:t>
            </w:r>
          </w:p>
        </w:tc>
        <w:tc>
          <w:tcPr>
            <w:tcW w:w="1134" w:type="dxa"/>
            <w:noWrap/>
            <w:vAlign w:val="center"/>
          </w:tcPr>
          <w:p w14:paraId="5293C27C">
            <w:pPr>
              <w:widowControl/>
              <w:jc w:val="center"/>
              <w:textAlignment w:val="center"/>
              <w:rPr>
                <w:rFonts w:ascii="仿宋" w:hAnsi="仿宋" w:eastAsia="仿宋" w:cs="仿宋"/>
                <w:sz w:val="21"/>
                <w:szCs w:val="21"/>
              </w:rPr>
            </w:pPr>
            <w:r>
              <w:rPr>
                <w:rFonts w:hint="eastAsia" w:ascii="仿宋" w:hAnsi="仿宋" w:eastAsia="仿宋" w:cs="仿宋"/>
                <w:sz w:val="21"/>
                <w:szCs w:val="21"/>
              </w:rPr>
              <w:t>31104407002023050331</w:t>
            </w:r>
          </w:p>
        </w:tc>
        <w:tc>
          <w:tcPr>
            <w:tcW w:w="851" w:type="dxa"/>
            <w:noWrap/>
            <w:vAlign w:val="center"/>
          </w:tcPr>
          <w:p w14:paraId="2C17D600">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1150</w:t>
            </w:r>
          </w:p>
        </w:tc>
        <w:tc>
          <w:tcPr>
            <w:tcW w:w="703" w:type="dxa"/>
            <w:noWrap/>
            <w:vAlign w:val="center"/>
          </w:tcPr>
          <w:p w14:paraId="74760D44">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1.75</w:t>
            </w:r>
          </w:p>
        </w:tc>
        <w:tc>
          <w:tcPr>
            <w:tcW w:w="856" w:type="dxa"/>
            <w:noWrap/>
            <w:vAlign w:val="center"/>
          </w:tcPr>
          <w:p w14:paraId="2388AB47">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10层10站10门</w:t>
            </w:r>
          </w:p>
        </w:tc>
        <w:tc>
          <w:tcPr>
            <w:tcW w:w="823" w:type="dxa"/>
            <w:noWrap/>
            <w:vAlign w:val="center"/>
          </w:tcPr>
          <w:p w14:paraId="543E7D40">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2025.10.21-2028.7.31</w:t>
            </w:r>
          </w:p>
        </w:tc>
        <w:tc>
          <w:tcPr>
            <w:tcW w:w="823" w:type="dxa"/>
            <w:noWrap/>
            <w:vAlign w:val="center"/>
          </w:tcPr>
          <w:p w14:paraId="0947AF4E">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33个月11天</w:t>
            </w:r>
          </w:p>
        </w:tc>
        <w:tc>
          <w:tcPr>
            <w:tcW w:w="823" w:type="dxa"/>
            <w:noWrap/>
            <w:vAlign w:val="center"/>
          </w:tcPr>
          <w:p w14:paraId="1088D908">
            <w:pPr>
              <w:widowControl/>
              <w:jc w:val="center"/>
              <w:textAlignment w:val="center"/>
              <w:rPr>
                <w:rFonts w:ascii="仿宋" w:hAnsi="仿宋" w:eastAsia="仿宋" w:cs="仿宋"/>
                <w:sz w:val="21"/>
                <w:szCs w:val="21"/>
              </w:rPr>
            </w:pPr>
          </w:p>
        </w:tc>
        <w:tc>
          <w:tcPr>
            <w:tcW w:w="765" w:type="dxa"/>
            <w:noWrap/>
            <w:vAlign w:val="center"/>
          </w:tcPr>
          <w:p w14:paraId="34269D9B">
            <w:pPr>
              <w:widowControl/>
              <w:jc w:val="center"/>
              <w:textAlignment w:val="center"/>
              <w:rPr>
                <w:rFonts w:ascii="仿宋" w:hAnsi="仿宋" w:eastAsia="仿宋" w:cs="仿宋"/>
                <w:sz w:val="21"/>
                <w:szCs w:val="21"/>
              </w:rPr>
            </w:pPr>
          </w:p>
        </w:tc>
      </w:tr>
      <w:tr w14:paraId="455D4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 w:type="dxa"/>
            <w:noWrap/>
            <w:vAlign w:val="center"/>
          </w:tcPr>
          <w:p w14:paraId="1017E681">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6</w:t>
            </w:r>
          </w:p>
        </w:tc>
        <w:tc>
          <w:tcPr>
            <w:tcW w:w="565" w:type="dxa"/>
            <w:vMerge w:val="continue"/>
            <w:noWrap/>
            <w:vAlign w:val="center"/>
          </w:tcPr>
          <w:p w14:paraId="68988442">
            <w:pPr>
              <w:widowControl/>
              <w:jc w:val="center"/>
              <w:textAlignment w:val="center"/>
              <w:rPr>
                <w:rFonts w:ascii="仿宋" w:hAnsi="仿宋" w:eastAsia="仿宋" w:cs="仿宋"/>
                <w:kern w:val="0"/>
                <w:sz w:val="21"/>
                <w:szCs w:val="21"/>
                <w:lang w:bidi="ar"/>
              </w:rPr>
            </w:pPr>
          </w:p>
        </w:tc>
        <w:tc>
          <w:tcPr>
            <w:tcW w:w="1276" w:type="dxa"/>
            <w:noWrap/>
            <w:vAlign w:val="center"/>
          </w:tcPr>
          <w:p w14:paraId="6409F10A">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综合楼2#曳引驱动乘客电梯</w:t>
            </w:r>
          </w:p>
        </w:tc>
        <w:tc>
          <w:tcPr>
            <w:tcW w:w="1134" w:type="dxa"/>
            <w:noWrap/>
            <w:vAlign w:val="center"/>
          </w:tcPr>
          <w:p w14:paraId="4FF9AB34">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广州广日电梯工业有限公司</w:t>
            </w:r>
          </w:p>
        </w:tc>
        <w:tc>
          <w:tcPr>
            <w:tcW w:w="1134" w:type="dxa"/>
            <w:noWrap/>
            <w:vAlign w:val="center"/>
          </w:tcPr>
          <w:p w14:paraId="4898D2D3">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31104407002023050334</w:t>
            </w:r>
          </w:p>
        </w:tc>
        <w:tc>
          <w:tcPr>
            <w:tcW w:w="851" w:type="dxa"/>
            <w:noWrap/>
            <w:vAlign w:val="center"/>
          </w:tcPr>
          <w:p w14:paraId="25FC5F1F">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1150</w:t>
            </w:r>
          </w:p>
        </w:tc>
        <w:tc>
          <w:tcPr>
            <w:tcW w:w="703" w:type="dxa"/>
            <w:noWrap/>
            <w:vAlign w:val="center"/>
          </w:tcPr>
          <w:p w14:paraId="7AE03CBF">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1.75</w:t>
            </w:r>
          </w:p>
        </w:tc>
        <w:tc>
          <w:tcPr>
            <w:tcW w:w="856" w:type="dxa"/>
            <w:noWrap/>
            <w:vAlign w:val="center"/>
          </w:tcPr>
          <w:p w14:paraId="40E480EB">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10层10站10门</w:t>
            </w:r>
          </w:p>
        </w:tc>
        <w:tc>
          <w:tcPr>
            <w:tcW w:w="823" w:type="dxa"/>
            <w:noWrap/>
            <w:vAlign w:val="center"/>
          </w:tcPr>
          <w:p w14:paraId="26813E34">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2025.10.21-2028.7.31</w:t>
            </w:r>
          </w:p>
        </w:tc>
        <w:tc>
          <w:tcPr>
            <w:tcW w:w="823" w:type="dxa"/>
            <w:noWrap/>
            <w:vAlign w:val="center"/>
          </w:tcPr>
          <w:p w14:paraId="48A90948">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33个月11天</w:t>
            </w:r>
          </w:p>
        </w:tc>
        <w:tc>
          <w:tcPr>
            <w:tcW w:w="823" w:type="dxa"/>
            <w:noWrap/>
            <w:vAlign w:val="center"/>
          </w:tcPr>
          <w:p w14:paraId="05093EFF">
            <w:pPr>
              <w:widowControl/>
              <w:jc w:val="center"/>
              <w:textAlignment w:val="center"/>
              <w:rPr>
                <w:rFonts w:ascii="仿宋" w:hAnsi="仿宋" w:eastAsia="仿宋" w:cs="仿宋"/>
                <w:sz w:val="21"/>
                <w:szCs w:val="21"/>
              </w:rPr>
            </w:pPr>
          </w:p>
        </w:tc>
        <w:tc>
          <w:tcPr>
            <w:tcW w:w="765" w:type="dxa"/>
            <w:noWrap/>
            <w:vAlign w:val="center"/>
          </w:tcPr>
          <w:p w14:paraId="18C02FD5">
            <w:pPr>
              <w:widowControl/>
              <w:jc w:val="center"/>
              <w:textAlignment w:val="center"/>
              <w:rPr>
                <w:rFonts w:ascii="仿宋" w:hAnsi="仿宋" w:eastAsia="仿宋" w:cs="仿宋"/>
                <w:sz w:val="21"/>
                <w:szCs w:val="21"/>
              </w:rPr>
            </w:pPr>
          </w:p>
        </w:tc>
      </w:tr>
      <w:tr w14:paraId="7DB3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 w:type="dxa"/>
            <w:noWrap/>
            <w:vAlign w:val="center"/>
          </w:tcPr>
          <w:p w14:paraId="54A4F2A1">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7</w:t>
            </w:r>
          </w:p>
        </w:tc>
        <w:tc>
          <w:tcPr>
            <w:tcW w:w="565" w:type="dxa"/>
            <w:vMerge w:val="continue"/>
            <w:noWrap/>
            <w:vAlign w:val="center"/>
          </w:tcPr>
          <w:p w14:paraId="53455DBF">
            <w:pPr>
              <w:widowControl/>
              <w:jc w:val="center"/>
              <w:textAlignment w:val="center"/>
              <w:rPr>
                <w:rFonts w:ascii="仿宋" w:hAnsi="仿宋" w:eastAsia="仿宋" w:cs="仿宋"/>
                <w:kern w:val="0"/>
                <w:sz w:val="21"/>
                <w:szCs w:val="21"/>
                <w:lang w:bidi="ar"/>
              </w:rPr>
            </w:pPr>
          </w:p>
        </w:tc>
        <w:tc>
          <w:tcPr>
            <w:tcW w:w="1276" w:type="dxa"/>
            <w:noWrap/>
            <w:vAlign w:val="center"/>
          </w:tcPr>
          <w:p w14:paraId="0AA09079">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综合楼3#曳引驱动乘客电梯</w:t>
            </w:r>
          </w:p>
        </w:tc>
        <w:tc>
          <w:tcPr>
            <w:tcW w:w="1134" w:type="dxa"/>
            <w:noWrap/>
            <w:vAlign w:val="center"/>
          </w:tcPr>
          <w:p w14:paraId="4102FF20">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广州广日电梯工业有限公司</w:t>
            </w:r>
          </w:p>
        </w:tc>
        <w:tc>
          <w:tcPr>
            <w:tcW w:w="1134" w:type="dxa"/>
            <w:noWrap/>
            <w:vAlign w:val="center"/>
          </w:tcPr>
          <w:p w14:paraId="5A14F794">
            <w:pPr>
              <w:widowControl/>
              <w:jc w:val="center"/>
              <w:textAlignment w:val="center"/>
              <w:rPr>
                <w:rFonts w:ascii="仿宋" w:hAnsi="仿宋" w:eastAsia="仿宋" w:cs="仿宋"/>
                <w:sz w:val="21"/>
                <w:szCs w:val="21"/>
              </w:rPr>
            </w:pPr>
            <w:r>
              <w:rPr>
                <w:rFonts w:hint="eastAsia" w:ascii="仿宋" w:hAnsi="仿宋" w:eastAsia="仿宋" w:cs="仿宋"/>
                <w:sz w:val="21"/>
                <w:szCs w:val="21"/>
              </w:rPr>
              <w:t>31104407002023070059</w:t>
            </w:r>
          </w:p>
        </w:tc>
        <w:tc>
          <w:tcPr>
            <w:tcW w:w="851" w:type="dxa"/>
            <w:noWrap/>
            <w:vAlign w:val="center"/>
          </w:tcPr>
          <w:p w14:paraId="0B285F45">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1150</w:t>
            </w:r>
          </w:p>
        </w:tc>
        <w:tc>
          <w:tcPr>
            <w:tcW w:w="703" w:type="dxa"/>
            <w:noWrap/>
            <w:vAlign w:val="center"/>
          </w:tcPr>
          <w:p w14:paraId="231D2601">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1.75</w:t>
            </w:r>
          </w:p>
        </w:tc>
        <w:tc>
          <w:tcPr>
            <w:tcW w:w="856" w:type="dxa"/>
            <w:noWrap/>
            <w:vAlign w:val="center"/>
          </w:tcPr>
          <w:p w14:paraId="4FADE802">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10层10站10门</w:t>
            </w:r>
          </w:p>
        </w:tc>
        <w:tc>
          <w:tcPr>
            <w:tcW w:w="823" w:type="dxa"/>
            <w:noWrap/>
            <w:vAlign w:val="center"/>
          </w:tcPr>
          <w:p w14:paraId="3A1EA926">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2025.12.9-2028.7.31</w:t>
            </w:r>
          </w:p>
        </w:tc>
        <w:tc>
          <w:tcPr>
            <w:tcW w:w="823" w:type="dxa"/>
            <w:noWrap/>
            <w:vAlign w:val="center"/>
          </w:tcPr>
          <w:p w14:paraId="403252CC">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31个月23天</w:t>
            </w:r>
          </w:p>
        </w:tc>
        <w:tc>
          <w:tcPr>
            <w:tcW w:w="823" w:type="dxa"/>
            <w:noWrap/>
            <w:vAlign w:val="center"/>
          </w:tcPr>
          <w:p w14:paraId="1F3B8EF0">
            <w:pPr>
              <w:widowControl/>
              <w:jc w:val="center"/>
              <w:textAlignment w:val="center"/>
              <w:rPr>
                <w:rFonts w:ascii="仿宋" w:hAnsi="仿宋" w:eastAsia="仿宋" w:cs="仿宋"/>
                <w:sz w:val="21"/>
                <w:szCs w:val="21"/>
              </w:rPr>
            </w:pPr>
          </w:p>
        </w:tc>
        <w:tc>
          <w:tcPr>
            <w:tcW w:w="765" w:type="dxa"/>
            <w:noWrap/>
            <w:vAlign w:val="center"/>
          </w:tcPr>
          <w:p w14:paraId="44424806">
            <w:pPr>
              <w:widowControl/>
              <w:jc w:val="center"/>
              <w:textAlignment w:val="center"/>
              <w:rPr>
                <w:rFonts w:ascii="仿宋" w:hAnsi="仿宋" w:eastAsia="仿宋" w:cs="仿宋"/>
                <w:sz w:val="21"/>
                <w:szCs w:val="21"/>
              </w:rPr>
            </w:pPr>
          </w:p>
        </w:tc>
      </w:tr>
      <w:tr w14:paraId="4741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 w:type="dxa"/>
            <w:noWrap/>
            <w:vAlign w:val="center"/>
          </w:tcPr>
          <w:p w14:paraId="0D19582C">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8</w:t>
            </w:r>
          </w:p>
        </w:tc>
        <w:tc>
          <w:tcPr>
            <w:tcW w:w="565" w:type="dxa"/>
            <w:vMerge w:val="continue"/>
            <w:noWrap/>
            <w:vAlign w:val="center"/>
          </w:tcPr>
          <w:p w14:paraId="582107C7">
            <w:pPr>
              <w:widowControl/>
              <w:jc w:val="center"/>
              <w:textAlignment w:val="center"/>
              <w:rPr>
                <w:rFonts w:ascii="仿宋" w:hAnsi="仿宋" w:eastAsia="仿宋" w:cs="仿宋"/>
                <w:kern w:val="0"/>
                <w:sz w:val="21"/>
                <w:szCs w:val="21"/>
                <w:lang w:bidi="ar"/>
              </w:rPr>
            </w:pPr>
          </w:p>
        </w:tc>
        <w:tc>
          <w:tcPr>
            <w:tcW w:w="1276" w:type="dxa"/>
            <w:noWrap/>
            <w:vAlign w:val="center"/>
          </w:tcPr>
          <w:p w14:paraId="14B7C6B8">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实训楼1#曳引驱动乘客电梯</w:t>
            </w:r>
          </w:p>
        </w:tc>
        <w:tc>
          <w:tcPr>
            <w:tcW w:w="1134" w:type="dxa"/>
            <w:noWrap/>
            <w:vAlign w:val="center"/>
          </w:tcPr>
          <w:p w14:paraId="17C331BF">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广州广日电梯工业有限公司</w:t>
            </w:r>
          </w:p>
        </w:tc>
        <w:tc>
          <w:tcPr>
            <w:tcW w:w="1134" w:type="dxa"/>
            <w:noWrap/>
            <w:vAlign w:val="center"/>
          </w:tcPr>
          <w:p w14:paraId="58CF7BCE">
            <w:pPr>
              <w:widowControl/>
              <w:jc w:val="center"/>
              <w:textAlignment w:val="center"/>
              <w:rPr>
                <w:rFonts w:ascii="仿宋" w:hAnsi="仿宋" w:eastAsia="仿宋" w:cs="仿宋"/>
                <w:sz w:val="21"/>
                <w:szCs w:val="21"/>
              </w:rPr>
            </w:pPr>
            <w:r>
              <w:rPr>
                <w:rFonts w:hint="eastAsia" w:ascii="仿宋" w:hAnsi="仿宋" w:eastAsia="仿宋" w:cs="仿宋"/>
                <w:sz w:val="21"/>
                <w:szCs w:val="21"/>
              </w:rPr>
              <w:t>31104407002023050332</w:t>
            </w:r>
          </w:p>
        </w:tc>
        <w:tc>
          <w:tcPr>
            <w:tcW w:w="851" w:type="dxa"/>
            <w:noWrap/>
            <w:vAlign w:val="center"/>
          </w:tcPr>
          <w:p w14:paraId="6C8D115B">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1150</w:t>
            </w:r>
          </w:p>
        </w:tc>
        <w:tc>
          <w:tcPr>
            <w:tcW w:w="703" w:type="dxa"/>
            <w:noWrap/>
            <w:vAlign w:val="center"/>
          </w:tcPr>
          <w:p w14:paraId="38C4B854">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1.75</w:t>
            </w:r>
          </w:p>
        </w:tc>
        <w:tc>
          <w:tcPr>
            <w:tcW w:w="856" w:type="dxa"/>
            <w:noWrap/>
            <w:vAlign w:val="center"/>
          </w:tcPr>
          <w:p w14:paraId="1044A021">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7层7站7门</w:t>
            </w:r>
          </w:p>
        </w:tc>
        <w:tc>
          <w:tcPr>
            <w:tcW w:w="823" w:type="dxa"/>
            <w:noWrap/>
            <w:vAlign w:val="center"/>
          </w:tcPr>
          <w:p w14:paraId="4E69E03D">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2025.10.26-2028.7.31</w:t>
            </w:r>
          </w:p>
        </w:tc>
        <w:tc>
          <w:tcPr>
            <w:tcW w:w="823" w:type="dxa"/>
            <w:noWrap/>
            <w:vAlign w:val="center"/>
          </w:tcPr>
          <w:p w14:paraId="362E93DD">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33个月6天</w:t>
            </w:r>
          </w:p>
        </w:tc>
        <w:tc>
          <w:tcPr>
            <w:tcW w:w="823" w:type="dxa"/>
            <w:noWrap/>
            <w:vAlign w:val="center"/>
          </w:tcPr>
          <w:p w14:paraId="5AD04BFC">
            <w:pPr>
              <w:widowControl/>
              <w:jc w:val="center"/>
              <w:textAlignment w:val="center"/>
              <w:rPr>
                <w:rFonts w:ascii="仿宋" w:hAnsi="仿宋" w:eastAsia="仿宋" w:cs="仿宋"/>
                <w:sz w:val="21"/>
                <w:szCs w:val="21"/>
              </w:rPr>
            </w:pPr>
          </w:p>
        </w:tc>
        <w:tc>
          <w:tcPr>
            <w:tcW w:w="765" w:type="dxa"/>
            <w:noWrap/>
            <w:vAlign w:val="center"/>
          </w:tcPr>
          <w:p w14:paraId="4B197760">
            <w:pPr>
              <w:widowControl/>
              <w:jc w:val="center"/>
              <w:textAlignment w:val="center"/>
              <w:rPr>
                <w:rFonts w:ascii="仿宋" w:hAnsi="仿宋" w:eastAsia="仿宋" w:cs="仿宋"/>
                <w:sz w:val="21"/>
                <w:szCs w:val="21"/>
              </w:rPr>
            </w:pPr>
          </w:p>
        </w:tc>
      </w:tr>
      <w:tr w14:paraId="3272F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 w:type="dxa"/>
            <w:noWrap/>
            <w:vAlign w:val="center"/>
          </w:tcPr>
          <w:p w14:paraId="54B3B74D">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9</w:t>
            </w:r>
          </w:p>
        </w:tc>
        <w:tc>
          <w:tcPr>
            <w:tcW w:w="565" w:type="dxa"/>
            <w:vMerge w:val="continue"/>
            <w:noWrap/>
            <w:vAlign w:val="center"/>
          </w:tcPr>
          <w:p w14:paraId="422B70CF">
            <w:pPr>
              <w:widowControl/>
              <w:jc w:val="center"/>
              <w:textAlignment w:val="center"/>
              <w:rPr>
                <w:rFonts w:ascii="仿宋" w:hAnsi="仿宋" w:eastAsia="仿宋" w:cs="仿宋"/>
                <w:kern w:val="0"/>
                <w:sz w:val="21"/>
                <w:szCs w:val="21"/>
                <w:lang w:bidi="ar"/>
              </w:rPr>
            </w:pPr>
          </w:p>
        </w:tc>
        <w:tc>
          <w:tcPr>
            <w:tcW w:w="1276" w:type="dxa"/>
            <w:noWrap/>
            <w:vAlign w:val="center"/>
          </w:tcPr>
          <w:p w14:paraId="048C6645">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食堂1#曳引驱动乘客电梯</w:t>
            </w:r>
          </w:p>
        </w:tc>
        <w:tc>
          <w:tcPr>
            <w:tcW w:w="1134" w:type="dxa"/>
            <w:noWrap/>
            <w:vAlign w:val="center"/>
          </w:tcPr>
          <w:p w14:paraId="36041F37">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广州广日电梯工业有限公司</w:t>
            </w:r>
          </w:p>
        </w:tc>
        <w:tc>
          <w:tcPr>
            <w:tcW w:w="1134" w:type="dxa"/>
            <w:noWrap/>
            <w:vAlign w:val="center"/>
          </w:tcPr>
          <w:p w14:paraId="77FDDE52">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31104407002023050336</w:t>
            </w:r>
          </w:p>
        </w:tc>
        <w:tc>
          <w:tcPr>
            <w:tcW w:w="851" w:type="dxa"/>
            <w:noWrap/>
            <w:vAlign w:val="center"/>
          </w:tcPr>
          <w:p w14:paraId="65044EF8">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1150</w:t>
            </w:r>
          </w:p>
        </w:tc>
        <w:tc>
          <w:tcPr>
            <w:tcW w:w="703" w:type="dxa"/>
            <w:noWrap/>
            <w:vAlign w:val="center"/>
          </w:tcPr>
          <w:p w14:paraId="7EBB9AB0">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1.75</w:t>
            </w:r>
          </w:p>
        </w:tc>
        <w:tc>
          <w:tcPr>
            <w:tcW w:w="856" w:type="dxa"/>
            <w:noWrap/>
            <w:vAlign w:val="center"/>
          </w:tcPr>
          <w:p w14:paraId="7A0D968F">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3层3站4门</w:t>
            </w:r>
          </w:p>
        </w:tc>
        <w:tc>
          <w:tcPr>
            <w:tcW w:w="823" w:type="dxa"/>
            <w:noWrap/>
            <w:vAlign w:val="center"/>
          </w:tcPr>
          <w:p w14:paraId="1418430E">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2025.10.24-2028.7.31</w:t>
            </w:r>
          </w:p>
        </w:tc>
        <w:tc>
          <w:tcPr>
            <w:tcW w:w="823" w:type="dxa"/>
            <w:noWrap/>
            <w:vAlign w:val="center"/>
          </w:tcPr>
          <w:p w14:paraId="3A9A88EC">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33个月8天</w:t>
            </w:r>
          </w:p>
        </w:tc>
        <w:tc>
          <w:tcPr>
            <w:tcW w:w="823" w:type="dxa"/>
            <w:noWrap/>
            <w:vAlign w:val="center"/>
          </w:tcPr>
          <w:p w14:paraId="6DE3DE2A">
            <w:pPr>
              <w:widowControl/>
              <w:jc w:val="center"/>
              <w:textAlignment w:val="center"/>
              <w:rPr>
                <w:rFonts w:ascii="仿宋" w:hAnsi="仿宋" w:eastAsia="仿宋" w:cs="仿宋"/>
                <w:sz w:val="21"/>
                <w:szCs w:val="21"/>
              </w:rPr>
            </w:pPr>
          </w:p>
        </w:tc>
        <w:tc>
          <w:tcPr>
            <w:tcW w:w="765" w:type="dxa"/>
            <w:noWrap/>
            <w:vAlign w:val="center"/>
          </w:tcPr>
          <w:p w14:paraId="0446BC04">
            <w:pPr>
              <w:widowControl/>
              <w:jc w:val="center"/>
              <w:textAlignment w:val="center"/>
              <w:rPr>
                <w:rFonts w:ascii="仿宋" w:hAnsi="仿宋" w:eastAsia="仿宋" w:cs="仿宋"/>
                <w:sz w:val="21"/>
                <w:szCs w:val="21"/>
              </w:rPr>
            </w:pPr>
          </w:p>
        </w:tc>
      </w:tr>
      <w:tr w14:paraId="3F326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 w:type="dxa"/>
            <w:noWrap/>
            <w:vAlign w:val="center"/>
          </w:tcPr>
          <w:p w14:paraId="2255CB3C">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10</w:t>
            </w:r>
          </w:p>
        </w:tc>
        <w:tc>
          <w:tcPr>
            <w:tcW w:w="565" w:type="dxa"/>
            <w:vMerge w:val="continue"/>
            <w:noWrap/>
            <w:vAlign w:val="center"/>
          </w:tcPr>
          <w:p w14:paraId="752EFB1E">
            <w:pPr>
              <w:widowControl/>
              <w:jc w:val="center"/>
              <w:textAlignment w:val="center"/>
              <w:rPr>
                <w:rFonts w:ascii="仿宋" w:hAnsi="仿宋" w:eastAsia="仿宋" w:cs="仿宋"/>
                <w:kern w:val="0"/>
                <w:sz w:val="21"/>
                <w:szCs w:val="21"/>
                <w:lang w:bidi="ar"/>
              </w:rPr>
            </w:pPr>
          </w:p>
        </w:tc>
        <w:tc>
          <w:tcPr>
            <w:tcW w:w="1276" w:type="dxa"/>
            <w:noWrap/>
            <w:vAlign w:val="center"/>
          </w:tcPr>
          <w:p w14:paraId="7920A350">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11号宿舍楼曳引驱动乘客电梯</w:t>
            </w:r>
          </w:p>
        </w:tc>
        <w:tc>
          <w:tcPr>
            <w:tcW w:w="1134" w:type="dxa"/>
            <w:noWrap/>
            <w:vAlign w:val="center"/>
          </w:tcPr>
          <w:p w14:paraId="3797FC73">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广州广日电梯工业有限公司</w:t>
            </w:r>
          </w:p>
        </w:tc>
        <w:tc>
          <w:tcPr>
            <w:tcW w:w="1134" w:type="dxa"/>
            <w:noWrap/>
            <w:vAlign w:val="center"/>
          </w:tcPr>
          <w:p w14:paraId="7FE7BBE3">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31104407002023050330</w:t>
            </w:r>
          </w:p>
        </w:tc>
        <w:tc>
          <w:tcPr>
            <w:tcW w:w="851" w:type="dxa"/>
            <w:noWrap/>
            <w:vAlign w:val="center"/>
          </w:tcPr>
          <w:p w14:paraId="4EF37CF1">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1150</w:t>
            </w:r>
          </w:p>
        </w:tc>
        <w:tc>
          <w:tcPr>
            <w:tcW w:w="703" w:type="dxa"/>
            <w:noWrap/>
            <w:vAlign w:val="center"/>
          </w:tcPr>
          <w:p w14:paraId="443FEFFD">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1.75</w:t>
            </w:r>
          </w:p>
        </w:tc>
        <w:tc>
          <w:tcPr>
            <w:tcW w:w="856" w:type="dxa"/>
            <w:noWrap/>
            <w:vAlign w:val="center"/>
          </w:tcPr>
          <w:p w14:paraId="35361F7F">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12层12站12门</w:t>
            </w:r>
          </w:p>
        </w:tc>
        <w:tc>
          <w:tcPr>
            <w:tcW w:w="823" w:type="dxa"/>
            <w:noWrap/>
            <w:vAlign w:val="center"/>
          </w:tcPr>
          <w:p w14:paraId="58810069">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2025.10.21-2028.7.31</w:t>
            </w:r>
          </w:p>
        </w:tc>
        <w:tc>
          <w:tcPr>
            <w:tcW w:w="823" w:type="dxa"/>
            <w:noWrap/>
            <w:vAlign w:val="center"/>
          </w:tcPr>
          <w:p w14:paraId="6C9378C8">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33个月11天</w:t>
            </w:r>
          </w:p>
        </w:tc>
        <w:tc>
          <w:tcPr>
            <w:tcW w:w="823" w:type="dxa"/>
            <w:noWrap/>
            <w:vAlign w:val="center"/>
          </w:tcPr>
          <w:p w14:paraId="23B94C8E">
            <w:pPr>
              <w:widowControl/>
              <w:jc w:val="center"/>
              <w:textAlignment w:val="center"/>
              <w:rPr>
                <w:rFonts w:ascii="仿宋" w:hAnsi="仿宋" w:eastAsia="仿宋" w:cs="仿宋"/>
                <w:sz w:val="21"/>
                <w:szCs w:val="21"/>
              </w:rPr>
            </w:pPr>
          </w:p>
        </w:tc>
        <w:tc>
          <w:tcPr>
            <w:tcW w:w="765" w:type="dxa"/>
            <w:noWrap/>
            <w:vAlign w:val="center"/>
          </w:tcPr>
          <w:p w14:paraId="21E440E0">
            <w:pPr>
              <w:widowControl/>
              <w:jc w:val="center"/>
              <w:textAlignment w:val="center"/>
              <w:rPr>
                <w:rFonts w:ascii="仿宋" w:hAnsi="仿宋" w:eastAsia="仿宋" w:cs="仿宋"/>
                <w:sz w:val="21"/>
                <w:szCs w:val="21"/>
              </w:rPr>
            </w:pPr>
          </w:p>
        </w:tc>
      </w:tr>
      <w:tr w14:paraId="213B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 w:type="dxa"/>
            <w:noWrap/>
            <w:vAlign w:val="center"/>
          </w:tcPr>
          <w:p w14:paraId="0CE2E828">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11</w:t>
            </w:r>
          </w:p>
        </w:tc>
        <w:tc>
          <w:tcPr>
            <w:tcW w:w="565" w:type="dxa"/>
            <w:vMerge w:val="continue"/>
            <w:noWrap/>
            <w:vAlign w:val="center"/>
          </w:tcPr>
          <w:p w14:paraId="32FAE13B">
            <w:pPr>
              <w:widowControl/>
              <w:jc w:val="center"/>
              <w:textAlignment w:val="center"/>
              <w:rPr>
                <w:rFonts w:ascii="仿宋" w:hAnsi="仿宋" w:eastAsia="仿宋" w:cs="仿宋"/>
                <w:kern w:val="0"/>
                <w:sz w:val="21"/>
                <w:szCs w:val="21"/>
                <w:lang w:bidi="ar"/>
              </w:rPr>
            </w:pPr>
          </w:p>
        </w:tc>
        <w:tc>
          <w:tcPr>
            <w:tcW w:w="1276" w:type="dxa"/>
            <w:noWrap/>
            <w:vAlign w:val="center"/>
          </w:tcPr>
          <w:p w14:paraId="0CDB233E">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11号宿舍楼曳引驱动乘客电梯</w:t>
            </w:r>
          </w:p>
        </w:tc>
        <w:tc>
          <w:tcPr>
            <w:tcW w:w="1134" w:type="dxa"/>
            <w:noWrap/>
            <w:vAlign w:val="center"/>
          </w:tcPr>
          <w:p w14:paraId="37B5470E">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广州广日电梯工业有限公司</w:t>
            </w:r>
          </w:p>
        </w:tc>
        <w:tc>
          <w:tcPr>
            <w:tcW w:w="1134" w:type="dxa"/>
            <w:noWrap/>
            <w:vAlign w:val="center"/>
          </w:tcPr>
          <w:p w14:paraId="0DEFBD1F">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31104407002023050335</w:t>
            </w:r>
          </w:p>
        </w:tc>
        <w:tc>
          <w:tcPr>
            <w:tcW w:w="851" w:type="dxa"/>
            <w:noWrap/>
            <w:vAlign w:val="center"/>
          </w:tcPr>
          <w:p w14:paraId="3760CD34">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1150</w:t>
            </w:r>
          </w:p>
        </w:tc>
        <w:tc>
          <w:tcPr>
            <w:tcW w:w="703" w:type="dxa"/>
            <w:noWrap/>
            <w:vAlign w:val="center"/>
          </w:tcPr>
          <w:p w14:paraId="2A0A1208">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1.75</w:t>
            </w:r>
          </w:p>
        </w:tc>
        <w:tc>
          <w:tcPr>
            <w:tcW w:w="856" w:type="dxa"/>
            <w:noWrap/>
            <w:vAlign w:val="center"/>
          </w:tcPr>
          <w:p w14:paraId="2BE189E7">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12层12站12门</w:t>
            </w:r>
          </w:p>
        </w:tc>
        <w:tc>
          <w:tcPr>
            <w:tcW w:w="823" w:type="dxa"/>
            <w:noWrap/>
            <w:vAlign w:val="center"/>
          </w:tcPr>
          <w:p w14:paraId="01AD9BDF">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2025.10.21-2028.7.31</w:t>
            </w:r>
          </w:p>
        </w:tc>
        <w:tc>
          <w:tcPr>
            <w:tcW w:w="823" w:type="dxa"/>
            <w:noWrap/>
            <w:vAlign w:val="center"/>
          </w:tcPr>
          <w:p w14:paraId="6113AD1D">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33个月11天</w:t>
            </w:r>
          </w:p>
        </w:tc>
        <w:tc>
          <w:tcPr>
            <w:tcW w:w="823" w:type="dxa"/>
            <w:noWrap/>
            <w:vAlign w:val="center"/>
          </w:tcPr>
          <w:p w14:paraId="66FF7D09">
            <w:pPr>
              <w:widowControl/>
              <w:jc w:val="center"/>
              <w:textAlignment w:val="center"/>
              <w:rPr>
                <w:rFonts w:ascii="仿宋" w:hAnsi="仿宋" w:eastAsia="仿宋" w:cs="仿宋"/>
                <w:sz w:val="21"/>
                <w:szCs w:val="21"/>
              </w:rPr>
            </w:pPr>
          </w:p>
        </w:tc>
        <w:tc>
          <w:tcPr>
            <w:tcW w:w="765" w:type="dxa"/>
            <w:noWrap/>
            <w:vAlign w:val="center"/>
          </w:tcPr>
          <w:p w14:paraId="043D021C">
            <w:pPr>
              <w:widowControl/>
              <w:jc w:val="center"/>
              <w:textAlignment w:val="center"/>
              <w:rPr>
                <w:rFonts w:ascii="仿宋" w:hAnsi="仿宋" w:eastAsia="仿宋" w:cs="仿宋"/>
                <w:sz w:val="21"/>
                <w:szCs w:val="21"/>
              </w:rPr>
            </w:pPr>
          </w:p>
        </w:tc>
      </w:tr>
      <w:tr w14:paraId="44FD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 w:type="dxa"/>
            <w:noWrap/>
            <w:vAlign w:val="center"/>
          </w:tcPr>
          <w:p w14:paraId="26346918">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12</w:t>
            </w:r>
          </w:p>
        </w:tc>
        <w:tc>
          <w:tcPr>
            <w:tcW w:w="565" w:type="dxa"/>
            <w:vMerge w:val="continue"/>
            <w:noWrap/>
            <w:vAlign w:val="center"/>
          </w:tcPr>
          <w:p w14:paraId="598BB8D1">
            <w:pPr>
              <w:widowControl/>
              <w:jc w:val="center"/>
              <w:textAlignment w:val="center"/>
              <w:rPr>
                <w:rFonts w:ascii="仿宋" w:hAnsi="仿宋" w:eastAsia="仿宋" w:cs="仿宋"/>
                <w:kern w:val="0"/>
                <w:sz w:val="21"/>
                <w:szCs w:val="21"/>
                <w:lang w:bidi="ar"/>
              </w:rPr>
            </w:pPr>
          </w:p>
        </w:tc>
        <w:tc>
          <w:tcPr>
            <w:tcW w:w="1276" w:type="dxa"/>
            <w:noWrap/>
            <w:vAlign w:val="center"/>
          </w:tcPr>
          <w:p w14:paraId="201FDD87">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11号宿舍楼曳引驱动乘客电梯</w:t>
            </w:r>
          </w:p>
        </w:tc>
        <w:tc>
          <w:tcPr>
            <w:tcW w:w="1134" w:type="dxa"/>
            <w:noWrap/>
            <w:vAlign w:val="center"/>
          </w:tcPr>
          <w:p w14:paraId="65FA453A">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广州广日电梯工业有限公司</w:t>
            </w:r>
          </w:p>
        </w:tc>
        <w:tc>
          <w:tcPr>
            <w:tcW w:w="1134" w:type="dxa"/>
            <w:noWrap/>
            <w:vAlign w:val="center"/>
          </w:tcPr>
          <w:p w14:paraId="6D240CFE">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31104407002023050329</w:t>
            </w:r>
          </w:p>
        </w:tc>
        <w:tc>
          <w:tcPr>
            <w:tcW w:w="851" w:type="dxa"/>
            <w:noWrap/>
            <w:vAlign w:val="center"/>
          </w:tcPr>
          <w:p w14:paraId="2B908B18">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1150</w:t>
            </w:r>
          </w:p>
        </w:tc>
        <w:tc>
          <w:tcPr>
            <w:tcW w:w="703" w:type="dxa"/>
            <w:noWrap/>
            <w:vAlign w:val="center"/>
          </w:tcPr>
          <w:p w14:paraId="67A3B947">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1.75</w:t>
            </w:r>
          </w:p>
        </w:tc>
        <w:tc>
          <w:tcPr>
            <w:tcW w:w="856" w:type="dxa"/>
            <w:noWrap/>
            <w:vAlign w:val="center"/>
          </w:tcPr>
          <w:p w14:paraId="4A5645B8">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12层12站12门</w:t>
            </w:r>
          </w:p>
        </w:tc>
        <w:tc>
          <w:tcPr>
            <w:tcW w:w="823" w:type="dxa"/>
            <w:noWrap/>
            <w:vAlign w:val="center"/>
          </w:tcPr>
          <w:p w14:paraId="627562B9">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2025.10.24-2028.7.31</w:t>
            </w:r>
          </w:p>
        </w:tc>
        <w:tc>
          <w:tcPr>
            <w:tcW w:w="823" w:type="dxa"/>
            <w:noWrap/>
            <w:vAlign w:val="center"/>
          </w:tcPr>
          <w:p w14:paraId="69A2F8A7">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33个月8天</w:t>
            </w:r>
          </w:p>
        </w:tc>
        <w:tc>
          <w:tcPr>
            <w:tcW w:w="823" w:type="dxa"/>
            <w:noWrap/>
            <w:vAlign w:val="center"/>
          </w:tcPr>
          <w:p w14:paraId="67354A74">
            <w:pPr>
              <w:widowControl/>
              <w:jc w:val="center"/>
              <w:textAlignment w:val="center"/>
              <w:rPr>
                <w:rFonts w:ascii="仿宋" w:hAnsi="仿宋" w:eastAsia="仿宋" w:cs="仿宋"/>
                <w:sz w:val="21"/>
                <w:szCs w:val="21"/>
              </w:rPr>
            </w:pPr>
          </w:p>
        </w:tc>
        <w:tc>
          <w:tcPr>
            <w:tcW w:w="765" w:type="dxa"/>
            <w:noWrap/>
            <w:vAlign w:val="center"/>
          </w:tcPr>
          <w:p w14:paraId="068E5E37">
            <w:pPr>
              <w:widowControl/>
              <w:jc w:val="center"/>
              <w:textAlignment w:val="center"/>
              <w:rPr>
                <w:rFonts w:ascii="仿宋" w:hAnsi="仿宋" w:eastAsia="仿宋" w:cs="仿宋"/>
                <w:sz w:val="21"/>
                <w:szCs w:val="21"/>
              </w:rPr>
            </w:pPr>
          </w:p>
        </w:tc>
      </w:tr>
      <w:tr w14:paraId="29EF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 w:type="dxa"/>
            <w:noWrap/>
            <w:vAlign w:val="center"/>
          </w:tcPr>
          <w:p w14:paraId="02BDB7D0">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13</w:t>
            </w:r>
          </w:p>
        </w:tc>
        <w:tc>
          <w:tcPr>
            <w:tcW w:w="565" w:type="dxa"/>
            <w:vMerge w:val="continue"/>
            <w:noWrap/>
            <w:vAlign w:val="center"/>
          </w:tcPr>
          <w:p w14:paraId="5A5887C8">
            <w:pPr>
              <w:widowControl/>
              <w:jc w:val="center"/>
              <w:textAlignment w:val="center"/>
              <w:rPr>
                <w:rFonts w:ascii="仿宋" w:hAnsi="仿宋" w:eastAsia="仿宋" w:cs="仿宋"/>
                <w:kern w:val="0"/>
                <w:sz w:val="21"/>
                <w:szCs w:val="21"/>
                <w:lang w:bidi="ar"/>
              </w:rPr>
            </w:pPr>
          </w:p>
        </w:tc>
        <w:tc>
          <w:tcPr>
            <w:tcW w:w="1276" w:type="dxa"/>
            <w:noWrap/>
            <w:vAlign w:val="center"/>
          </w:tcPr>
          <w:p w14:paraId="7849FB62">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11号宿舍楼曳引驱动乘客电梯</w:t>
            </w:r>
          </w:p>
        </w:tc>
        <w:tc>
          <w:tcPr>
            <w:tcW w:w="1134" w:type="dxa"/>
            <w:noWrap/>
            <w:vAlign w:val="center"/>
          </w:tcPr>
          <w:p w14:paraId="5E83C4C3">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广州广日电梯工业有限公司</w:t>
            </w:r>
          </w:p>
        </w:tc>
        <w:tc>
          <w:tcPr>
            <w:tcW w:w="1134" w:type="dxa"/>
            <w:noWrap/>
            <w:vAlign w:val="center"/>
          </w:tcPr>
          <w:p w14:paraId="31A195BE">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31104407002023050333</w:t>
            </w:r>
          </w:p>
        </w:tc>
        <w:tc>
          <w:tcPr>
            <w:tcW w:w="851" w:type="dxa"/>
            <w:noWrap/>
            <w:vAlign w:val="center"/>
          </w:tcPr>
          <w:p w14:paraId="323C2CA1">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1150</w:t>
            </w:r>
          </w:p>
        </w:tc>
        <w:tc>
          <w:tcPr>
            <w:tcW w:w="703" w:type="dxa"/>
            <w:noWrap/>
            <w:vAlign w:val="center"/>
          </w:tcPr>
          <w:p w14:paraId="25C62B6B">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1.75</w:t>
            </w:r>
          </w:p>
        </w:tc>
        <w:tc>
          <w:tcPr>
            <w:tcW w:w="856" w:type="dxa"/>
            <w:noWrap/>
            <w:vAlign w:val="center"/>
          </w:tcPr>
          <w:p w14:paraId="7F5D3735">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12层12站12门</w:t>
            </w:r>
          </w:p>
        </w:tc>
        <w:tc>
          <w:tcPr>
            <w:tcW w:w="823" w:type="dxa"/>
            <w:noWrap/>
            <w:vAlign w:val="center"/>
          </w:tcPr>
          <w:p w14:paraId="50C3C821">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2025.10.24-2028.7.31</w:t>
            </w:r>
          </w:p>
        </w:tc>
        <w:tc>
          <w:tcPr>
            <w:tcW w:w="823" w:type="dxa"/>
            <w:noWrap/>
            <w:vAlign w:val="center"/>
          </w:tcPr>
          <w:p w14:paraId="3D4DAF20">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33个月8天</w:t>
            </w:r>
          </w:p>
        </w:tc>
        <w:tc>
          <w:tcPr>
            <w:tcW w:w="823" w:type="dxa"/>
            <w:noWrap/>
            <w:vAlign w:val="center"/>
          </w:tcPr>
          <w:p w14:paraId="5EFE5B2C">
            <w:pPr>
              <w:widowControl/>
              <w:jc w:val="center"/>
              <w:textAlignment w:val="center"/>
              <w:rPr>
                <w:rFonts w:ascii="仿宋" w:hAnsi="仿宋" w:eastAsia="仿宋" w:cs="仿宋"/>
                <w:sz w:val="21"/>
                <w:szCs w:val="21"/>
              </w:rPr>
            </w:pPr>
          </w:p>
        </w:tc>
        <w:tc>
          <w:tcPr>
            <w:tcW w:w="765" w:type="dxa"/>
            <w:noWrap/>
            <w:vAlign w:val="center"/>
          </w:tcPr>
          <w:p w14:paraId="6CD62975">
            <w:pPr>
              <w:widowControl/>
              <w:jc w:val="center"/>
              <w:textAlignment w:val="center"/>
              <w:rPr>
                <w:rFonts w:ascii="仿宋" w:hAnsi="仿宋" w:eastAsia="仿宋" w:cs="仿宋"/>
                <w:sz w:val="21"/>
                <w:szCs w:val="21"/>
              </w:rPr>
            </w:pPr>
          </w:p>
        </w:tc>
      </w:tr>
      <w:tr w14:paraId="64BC8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 w:type="dxa"/>
            <w:noWrap/>
            <w:vAlign w:val="center"/>
          </w:tcPr>
          <w:p w14:paraId="4F3AC090">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14</w:t>
            </w:r>
          </w:p>
        </w:tc>
        <w:tc>
          <w:tcPr>
            <w:tcW w:w="565" w:type="dxa"/>
            <w:vMerge w:val="continue"/>
            <w:noWrap/>
            <w:vAlign w:val="center"/>
          </w:tcPr>
          <w:p w14:paraId="7563ECC4">
            <w:pPr>
              <w:widowControl/>
              <w:jc w:val="center"/>
              <w:textAlignment w:val="center"/>
              <w:rPr>
                <w:rFonts w:ascii="仿宋" w:hAnsi="仿宋" w:eastAsia="仿宋" w:cs="仿宋"/>
                <w:kern w:val="0"/>
                <w:sz w:val="21"/>
                <w:szCs w:val="21"/>
                <w:lang w:bidi="ar"/>
              </w:rPr>
            </w:pPr>
          </w:p>
        </w:tc>
        <w:tc>
          <w:tcPr>
            <w:tcW w:w="1276" w:type="dxa"/>
            <w:noWrap/>
            <w:vAlign w:val="center"/>
          </w:tcPr>
          <w:p w14:paraId="7F8BBDB3">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实训楼1#曳引驱动载货电梯</w:t>
            </w:r>
          </w:p>
        </w:tc>
        <w:tc>
          <w:tcPr>
            <w:tcW w:w="1134" w:type="dxa"/>
            <w:noWrap/>
            <w:vAlign w:val="center"/>
          </w:tcPr>
          <w:p w14:paraId="0B48856A">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广州广日电梯工业有限公司</w:t>
            </w:r>
          </w:p>
        </w:tc>
        <w:tc>
          <w:tcPr>
            <w:tcW w:w="1134" w:type="dxa"/>
            <w:noWrap/>
            <w:vAlign w:val="center"/>
          </w:tcPr>
          <w:p w14:paraId="079F795A">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31204407002023050363</w:t>
            </w:r>
          </w:p>
        </w:tc>
        <w:tc>
          <w:tcPr>
            <w:tcW w:w="851" w:type="dxa"/>
            <w:noWrap/>
            <w:vAlign w:val="center"/>
          </w:tcPr>
          <w:p w14:paraId="3EF9FF22">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3000</w:t>
            </w:r>
          </w:p>
        </w:tc>
        <w:tc>
          <w:tcPr>
            <w:tcW w:w="703" w:type="dxa"/>
            <w:noWrap/>
            <w:vAlign w:val="center"/>
          </w:tcPr>
          <w:p w14:paraId="4A07231B">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0.5</w:t>
            </w:r>
          </w:p>
        </w:tc>
        <w:tc>
          <w:tcPr>
            <w:tcW w:w="856" w:type="dxa"/>
            <w:noWrap/>
            <w:vAlign w:val="center"/>
          </w:tcPr>
          <w:p w14:paraId="58959035">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6层6站6门</w:t>
            </w:r>
          </w:p>
        </w:tc>
        <w:tc>
          <w:tcPr>
            <w:tcW w:w="823" w:type="dxa"/>
            <w:noWrap/>
            <w:vAlign w:val="center"/>
          </w:tcPr>
          <w:p w14:paraId="59877F58">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2025.10.21-2028.7.31</w:t>
            </w:r>
          </w:p>
        </w:tc>
        <w:tc>
          <w:tcPr>
            <w:tcW w:w="823" w:type="dxa"/>
            <w:noWrap/>
            <w:vAlign w:val="center"/>
          </w:tcPr>
          <w:p w14:paraId="227FB773">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33个月11天</w:t>
            </w:r>
          </w:p>
        </w:tc>
        <w:tc>
          <w:tcPr>
            <w:tcW w:w="823" w:type="dxa"/>
            <w:noWrap/>
            <w:vAlign w:val="center"/>
          </w:tcPr>
          <w:p w14:paraId="45031E59">
            <w:pPr>
              <w:widowControl/>
              <w:jc w:val="center"/>
              <w:textAlignment w:val="center"/>
              <w:rPr>
                <w:rFonts w:ascii="仿宋" w:hAnsi="仿宋" w:eastAsia="仿宋" w:cs="仿宋"/>
                <w:sz w:val="21"/>
                <w:szCs w:val="21"/>
              </w:rPr>
            </w:pPr>
          </w:p>
        </w:tc>
        <w:tc>
          <w:tcPr>
            <w:tcW w:w="765" w:type="dxa"/>
            <w:noWrap/>
            <w:vAlign w:val="center"/>
          </w:tcPr>
          <w:p w14:paraId="7036D122">
            <w:pPr>
              <w:widowControl/>
              <w:jc w:val="center"/>
              <w:textAlignment w:val="center"/>
              <w:rPr>
                <w:rFonts w:ascii="仿宋" w:hAnsi="仿宋" w:eastAsia="仿宋" w:cs="仿宋"/>
                <w:sz w:val="21"/>
                <w:szCs w:val="21"/>
              </w:rPr>
            </w:pPr>
          </w:p>
        </w:tc>
      </w:tr>
      <w:tr w14:paraId="5935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 w:type="dxa"/>
            <w:noWrap/>
            <w:vAlign w:val="center"/>
          </w:tcPr>
          <w:p w14:paraId="571FBD6C">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15</w:t>
            </w:r>
          </w:p>
        </w:tc>
        <w:tc>
          <w:tcPr>
            <w:tcW w:w="565" w:type="dxa"/>
            <w:vMerge w:val="continue"/>
            <w:noWrap/>
            <w:vAlign w:val="center"/>
          </w:tcPr>
          <w:p w14:paraId="7D6C739A">
            <w:pPr>
              <w:widowControl/>
              <w:jc w:val="center"/>
              <w:textAlignment w:val="center"/>
              <w:rPr>
                <w:rFonts w:ascii="仿宋" w:hAnsi="仿宋" w:eastAsia="仿宋" w:cs="仿宋"/>
                <w:kern w:val="0"/>
                <w:sz w:val="21"/>
                <w:szCs w:val="21"/>
                <w:lang w:bidi="ar"/>
              </w:rPr>
            </w:pPr>
          </w:p>
        </w:tc>
        <w:tc>
          <w:tcPr>
            <w:tcW w:w="1276" w:type="dxa"/>
            <w:noWrap/>
            <w:vAlign w:val="center"/>
          </w:tcPr>
          <w:p w14:paraId="054C968E">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图书馆1#曳引驱动载货电梯</w:t>
            </w:r>
          </w:p>
        </w:tc>
        <w:tc>
          <w:tcPr>
            <w:tcW w:w="1134" w:type="dxa"/>
            <w:noWrap/>
            <w:vAlign w:val="center"/>
          </w:tcPr>
          <w:p w14:paraId="5F3470BC">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广州广日电梯工业有限公司</w:t>
            </w:r>
          </w:p>
        </w:tc>
        <w:tc>
          <w:tcPr>
            <w:tcW w:w="1134" w:type="dxa"/>
            <w:noWrap/>
            <w:vAlign w:val="center"/>
          </w:tcPr>
          <w:p w14:paraId="29387506">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31204407002023070058</w:t>
            </w:r>
          </w:p>
        </w:tc>
        <w:tc>
          <w:tcPr>
            <w:tcW w:w="851" w:type="dxa"/>
            <w:noWrap/>
            <w:vAlign w:val="center"/>
          </w:tcPr>
          <w:p w14:paraId="67257624">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1600</w:t>
            </w:r>
          </w:p>
        </w:tc>
        <w:tc>
          <w:tcPr>
            <w:tcW w:w="703" w:type="dxa"/>
            <w:noWrap/>
            <w:vAlign w:val="center"/>
          </w:tcPr>
          <w:p w14:paraId="574B1411">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0.5</w:t>
            </w:r>
          </w:p>
        </w:tc>
        <w:tc>
          <w:tcPr>
            <w:tcW w:w="856" w:type="dxa"/>
            <w:noWrap/>
            <w:vAlign w:val="center"/>
          </w:tcPr>
          <w:p w14:paraId="75C28929">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3层3站3门</w:t>
            </w:r>
          </w:p>
        </w:tc>
        <w:tc>
          <w:tcPr>
            <w:tcW w:w="823" w:type="dxa"/>
            <w:noWrap/>
            <w:vAlign w:val="center"/>
          </w:tcPr>
          <w:p w14:paraId="6128A339">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2025.12.9-2028.7.31</w:t>
            </w:r>
          </w:p>
        </w:tc>
        <w:tc>
          <w:tcPr>
            <w:tcW w:w="823" w:type="dxa"/>
            <w:noWrap/>
            <w:vAlign w:val="center"/>
          </w:tcPr>
          <w:p w14:paraId="2CE6CABC">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31个月23天</w:t>
            </w:r>
          </w:p>
        </w:tc>
        <w:tc>
          <w:tcPr>
            <w:tcW w:w="823" w:type="dxa"/>
            <w:noWrap/>
            <w:vAlign w:val="center"/>
          </w:tcPr>
          <w:p w14:paraId="762DCD01">
            <w:pPr>
              <w:widowControl/>
              <w:jc w:val="center"/>
              <w:textAlignment w:val="center"/>
              <w:rPr>
                <w:rFonts w:ascii="仿宋" w:hAnsi="仿宋" w:eastAsia="仿宋" w:cs="仿宋"/>
                <w:sz w:val="21"/>
                <w:szCs w:val="21"/>
              </w:rPr>
            </w:pPr>
          </w:p>
        </w:tc>
        <w:tc>
          <w:tcPr>
            <w:tcW w:w="765" w:type="dxa"/>
            <w:noWrap/>
            <w:vAlign w:val="center"/>
          </w:tcPr>
          <w:p w14:paraId="050DE57D">
            <w:pPr>
              <w:widowControl/>
              <w:jc w:val="center"/>
              <w:textAlignment w:val="center"/>
              <w:rPr>
                <w:rFonts w:ascii="仿宋" w:hAnsi="仿宋" w:eastAsia="仿宋" w:cs="仿宋"/>
                <w:sz w:val="21"/>
                <w:szCs w:val="21"/>
              </w:rPr>
            </w:pPr>
          </w:p>
        </w:tc>
      </w:tr>
      <w:tr w14:paraId="47257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 w:type="dxa"/>
            <w:noWrap/>
            <w:vAlign w:val="center"/>
          </w:tcPr>
          <w:p w14:paraId="6BFB811E">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16</w:t>
            </w:r>
          </w:p>
        </w:tc>
        <w:tc>
          <w:tcPr>
            <w:tcW w:w="565" w:type="dxa"/>
            <w:vMerge w:val="continue"/>
            <w:noWrap/>
            <w:vAlign w:val="center"/>
          </w:tcPr>
          <w:p w14:paraId="4E3B63FE">
            <w:pPr>
              <w:widowControl/>
              <w:jc w:val="center"/>
              <w:textAlignment w:val="center"/>
              <w:rPr>
                <w:rFonts w:ascii="仿宋" w:hAnsi="仿宋" w:eastAsia="仿宋" w:cs="仿宋"/>
                <w:kern w:val="0"/>
                <w:sz w:val="21"/>
                <w:szCs w:val="21"/>
                <w:lang w:bidi="ar"/>
              </w:rPr>
            </w:pPr>
          </w:p>
        </w:tc>
        <w:tc>
          <w:tcPr>
            <w:tcW w:w="1276" w:type="dxa"/>
            <w:noWrap/>
            <w:vAlign w:val="center"/>
          </w:tcPr>
          <w:p w14:paraId="20A65066">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食堂2#曳引驱动载货电梯</w:t>
            </w:r>
          </w:p>
        </w:tc>
        <w:tc>
          <w:tcPr>
            <w:tcW w:w="1134" w:type="dxa"/>
            <w:noWrap/>
            <w:vAlign w:val="center"/>
          </w:tcPr>
          <w:p w14:paraId="640936CF">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广州广日电梯工业有限公司</w:t>
            </w:r>
          </w:p>
        </w:tc>
        <w:tc>
          <w:tcPr>
            <w:tcW w:w="1134" w:type="dxa"/>
            <w:noWrap/>
            <w:vAlign w:val="center"/>
          </w:tcPr>
          <w:p w14:paraId="0F63B54A">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31204407002023050337</w:t>
            </w:r>
          </w:p>
        </w:tc>
        <w:tc>
          <w:tcPr>
            <w:tcW w:w="851" w:type="dxa"/>
            <w:noWrap/>
            <w:vAlign w:val="center"/>
          </w:tcPr>
          <w:p w14:paraId="696A686C">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1600</w:t>
            </w:r>
          </w:p>
        </w:tc>
        <w:tc>
          <w:tcPr>
            <w:tcW w:w="703" w:type="dxa"/>
            <w:noWrap/>
            <w:vAlign w:val="center"/>
          </w:tcPr>
          <w:p w14:paraId="4B219DFD">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0.5</w:t>
            </w:r>
          </w:p>
        </w:tc>
        <w:tc>
          <w:tcPr>
            <w:tcW w:w="856" w:type="dxa"/>
            <w:noWrap/>
            <w:vAlign w:val="center"/>
          </w:tcPr>
          <w:p w14:paraId="4C6848DF">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3层3站3门</w:t>
            </w:r>
          </w:p>
        </w:tc>
        <w:tc>
          <w:tcPr>
            <w:tcW w:w="823" w:type="dxa"/>
            <w:noWrap/>
            <w:vAlign w:val="center"/>
          </w:tcPr>
          <w:p w14:paraId="31400FF4">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2025.10.24-2028.7.31</w:t>
            </w:r>
          </w:p>
        </w:tc>
        <w:tc>
          <w:tcPr>
            <w:tcW w:w="823" w:type="dxa"/>
            <w:noWrap/>
            <w:vAlign w:val="center"/>
          </w:tcPr>
          <w:p w14:paraId="415672CB">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33个月8天</w:t>
            </w:r>
          </w:p>
        </w:tc>
        <w:tc>
          <w:tcPr>
            <w:tcW w:w="823" w:type="dxa"/>
            <w:noWrap/>
            <w:vAlign w:val="center"/>
          </w:tcPr>
          <w:p w14:paraId="74A8E304">
            <w:pPr>
              <w:widowControl/>
              <w:jc w:val="center"/>
              <w:textAlignment w:val="center"/>
              <w:rPr>
                <w:rFonts w:ascii="仿宋" w:hAnsi="仿宋" w:eastAsia="仿宋" w:cs="仿宋"/>
                <w:sz w:val="21"/>
                <w:szCs w:val="21"/>
              </w:rPr>
            </w:pPr>
          </w:p>
        </w:tc>
        <w:tc>
          <w:tcPr>
            <w:tcW w:w="765" w:type="dxa"/>
            <w:noWrap/>
            <w:vAlign w:val="center"/>
          </w:tcPr>
          <w:p w14:paraId="475D9459">
            <w:pPr>
              <w:widowControl/>
              <w:jc w:val="center"/>
              <w:textAlignment w:val="center"/>
              <w:rPr>
                <w:rFonts w:ascii="仿宋" w:hAnsi="仿宋" w:eastAsia="仿宋" w:cs="仿宋"/>
                <w:sz w:val="21"/>
                <w:szCs w:val="21"/>
              </w:rPr>
            </w:pPr>
          </w:p>
        </w:tc>
      </w:tr>
      <w:tr w14:paraId="6AAA8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730" w:type="dxa"/>
            <w:gridSpan w:val="9"/>
            <w:tcBorders>
              <w:top w:val="single" w:color="000000" w:sz="4" w:space="0"/>
              <w:left w:val="single" w:color="000000" w:sz="4" w:space="0"/>
              <w:bottom w:val="single" w:color="000000" w:sz="4" w:space="0"/>
              <w:right w:val="single" w:color="000000" w:sz="4" w:space="0"/>
            </w:tcBorders>
            <w:vAlign w:val="center"/>
          </w:tcPr>
          <w:p w14:paraId="08C5C7A2">
            <w:pPr>
              <w:widowControl/>
              <w:jc w:val="right"/>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合计金额（小写）：</w:t>
            </w:r>
          </w:p>
        </w:tc>
        <w:tc>
          <w:tcPr>
            <w:tcW w:w="2411" w:type="dxa"/>
            <w:gridSpan w:val="3"/>
            <w:tcBorders>
              <w:top w:val="single" w:color="000000" w:sz="4" w:space="0"/>
              <w:left w:val="single" w:color="000000" w:sz="4" w:space="0"/>
              <w:bottom w:val="single" w:color="000000" w:sz="4" w:space="0"/>
              <w:right w:val="single" w:color="000000" w:sz="4" w:space="0"/>
            </w:tcBorders>
            <w:vAlign w:val="center"/>
          </w:tcPr>
          <w:p w14:paraId="0B9E8166">
            <w:pPr>
              <w:widowControl/>
              <w:jc w:val="center"/>
              <w:textAlignment w:val="center"/>
              <w:rPr>
                <w:rFonts w:ascii="宋体" w:hAnsi="宋体" w:eastAsia="宋体" w:cs="宋体"/>
                <w:color w:val="000000"/>
                <w:sz w:val="24"/>
                <w:szCs w:val="24"/>
              </w:rPr>
            </w:pPr>
          </w:p>
        </w:tc>
      </w:tr>
      <w:tr w14:paraId="6524C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730" w:type="dxa"/>
            <w:gridSpan w:val="9"/>
            <w:tcBorders>
              <w:top w:val="single" w:color="000000" w:sz="4" w:space="0"/>
              <w:left w:val="single" w:color="000000" w:sz="4" w:space="0"/>
              <w:bottom w:val="single" w:color="000000" w:sz="4" w:space="0"/>
              <w:right w:val="single" w:color="000000" w:sz="4" w:space="0"/>
            </w:tcBorders>
            <w:vAlign w:val="center"/>
          </w:tcPr>
          <w:p w14:paraId="4B4A6D6B">
            <w:pPr>
              <w:widowControl/>
              <w:jc w:val="left"/>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 xml:space="preserve">                                            合计金额（大写）：</w:t>
            </w:r>
          </w:p>
        </w:tc>
        <w:tc>
          <w:tcPr>
            <w:tcW w:w="2411" w:type="dxa"/>
            <w:gridSpan w:val="3"/>
            <w:tcBorders>
              <w:top w:val="single" w:color="000000" w:sz="4" w:space="0"/>
              <w:left w:val="single" w:color="000000" w:sz="4" w:space="0"/>
              <w:bottom w:val="single" w:color="000000" w:sz="4" w:space="0"/>
              <w:right w:val="single" w:color="000000" w:sz="4" w:space="0"/>
            </w:tcBorders>
            <w:vAlign w:val="center"/>
          </w:tcPr>
          <w:p w14:paraId="4BE4EDD0">
            <w:pPr>
              <w:widowControl/>
              <w:jc w:val="left"/>
              <w:textAlignment w:val="center"/>
              <w:rPr>
                <w:rFonts w:hint="eastAsia" w:ascii="宋体" w:hAnsi="宋体" w:eastAsia="宋体" w:cs="宋体"/>
                <w:b/>
                <w:bCs/>
                <w:color w:val="000000"/>
                <w:kern w:val="0"/>
                <w:sz w:val="24"/>
                <w:szCs w:val="24"/>
                <w:lang w:bidi="ar"/>
              </w:rPr>
            </w:pPr>
          </w:p>
        </w:tc>
      </w:tr>
    </w:tbl>
    <w:p w14:paraId="15E519B8">
      <w:pPr>
        <w:rPr>
          <w:rFonts w:ascii="宋体" w:hAnsi="宋体" w:eastAsia="宋体"/>
          <w:b/>
          <w:bCs/>
          <w:sz w:val="21"/>
          <w:szCs w:val="21"/>
        </w:rPr>
      </w:pPr>
      <w:r>
        <w:rPr>
          <w:rFonts w:hint="eastAsia" w:ascii="宋体" w:hAnsi="宋体" w:eastAsia="宋体"/>
          <w:b/>
          <w:bCs/>
          <w:sz w:val="21"/>
          <w:szCs w:val="21"/>
        </w:rPr>
        <w:t>注：1.单台合计金额不足一个月按照一个月计算。2</w:t>
      </w:r>
      <w:r>
        <w:rPr>
          <w:rFonts w:ascii="宋体" w:hAnsi="宋体" w:eastAsia="宋体"/>
          <w:b/>
          <w:bCs/>
          <w:sz w:val="21"/>
          <w:szCs w:val="21"/>
        </w:rPr>
        <w:t>.以上所有项目报价均包括本项目采购需求和投入使用的所有费用。</w:t>
      </w:r>
      <w:r>
        <w:rPr>
          <w:rFonts w:hint="eastAsia" w:ascii="宋体" w:hAnsi="宋体" w:eastAsia="宋体"/>
          <w:b/>
          <w:bCs/>
          <w:sz w:val="21"/>
          <w:szCs w:val="21"/>
        </w:rPr>
        <w:t>3</w:t>
      </w:r>
      <w:r>
        <w:rPr>
          <w:rFonts w:ascii="宋体" w:hAnsi="宋体" w:eastAsia="宋体"/>
          <w:b/>
          <w:bCs/>
          <w:sz w:val="21"/>
          <w:szCs w:val="21"/>
        </w:rPr>
        <w:t>.投标人不得对报价表的格式和内容进行修改，填表字迹清晰。</w:t>
      </w:r>
    </w:p>
    <w:p w14:paraId="67A350FA">
      <w:pPr>
        <w:rPr>
          <w:rFonts w:ascii="宋体" w:hAnsi="宋体" w:eastAsia="宋体"/>
          <w:b/>
          <w:bCs/>
          <w:sz w:val="21"/>
          <w:szCs w:val="21"/>
        </w:rPr>
      </w:pPr>
    </w:p>
    <w:p w14:paraId="3F4B997F">
      <w:pPr>
        <w:spacing w:line="360" w:lineRule="auto"/>
        <w:rPr>
          <w:rFonts w:ascii="宋体" w:hAnsi="宋体" w:eastAsia="宋体" w:cs="宋体"/>
          <w:sz w:val="24"/>
        </w:rPr>
      </w:pPr>
      <w:r>
        <w:rPr>
          <w:rFonts w:hint="eastAsia" w:ascii="宋体" w:hAnsi="宋体" w:eastAsia="宋体" w:cs="宋体"/>
          <w:sz w:val="24"/>
        </w:rPr>
        <w:t>投标人代表签字及盖公章：</w:t>
      </w:r>
    </w:p>
    <w:p w14:paraId="500821B2">
      <w:pPr>
        <w:spacing w:line="360" w:lineRule="auto"/>
        <w:rPr>
          <w:rFonts w:ascii="宋体" w:hAnsi="宋体" w:eastAsia="宋体" w:cs="宋体"/>
          <w:sz w:val="24"/>
        </w:rPr>
      </w:pPr>
      <w:r>
        <w:rPr>
          <w:rFonts w:hint="eastAsia" w:ascii="宋体" w:hAnsi="宋体" w:eastAsia="宋体" w:cs="宋体"/>
          <w:sz w:val="24"/>
        </w:rPr>
        <w:t>日期：</w:t>
      </w:r>
      <w:r>
        <w:rPr>
          <w:rFonts w:ascii="宋体" w:hAnsi="宋体" w:eastAsia="宋体" w:cs="宋体"/>
          <w:sz w:val="24"/>
        </w:rPr>
        <w:t xml:space="preserve">   </w:t>
      </w:r>
      <w:r>
        <w:rPr>
          <w:rFonts w:hint="eastAsia" w:ascii="宋体" w:hAnsi="宋体" w:eastAsia="宋体" w:cs="宋体"/>
          <w:sz w:val="24"/>
        </w:rPr>
        <w:t>年</w:t>
      </w:r>
      <w:r>
        <w:rPr>
          <w:rFonts w:ascii="宋体" w:hAnsi="宋体" w:eastAsia="宋体" w:cs="宋体"/>
          <w:sz w:val="24"/>
        </w:rPr>
        <w:t xml:space="preserve">   </w:t>
      </w:r>
      <w:r>
        <w:rPr>
          <w:rFonts w:hint="eastAsia" w:ascii="宋体" w:hAnsi="宋体" w:eastAsia="宋体" w:cs="宋体"/>
          <w:sz w:val="24"/>
        </w:rPr>
        <w:t>月</w:t>
      </w:r>
      <w:r>
        <w:rPr>
          <w:rFonts w:ascii="宋体" w:hAnsi="宋体" w:eastAsia="宋体" w:cs="宋体"/>
          <w:sz w:val="24"/>
        </w:rPr>
        <w:t xml:space="preserve">   </w:t>
      </w:r>
      <w:r>
        <w:rPr>
          <w:rFonts w:hint="eastAsia" w:ascii="宋体" w:hAnsi="宋体" w:eastAsia="宋体" w:cs="宋体"/>
          <w:sz w:val="24"/>
        </w:rPr>
        <w:t>日</w:t>
      </w:r>
    </w:p>
    <w:p w14:paraId="026C211D">
      <w:pPr>
        <w:jc w:val="left"/>
        <w:rPr>
          <w:rFonts w:ascii="仿宋" w:hAnsi="仿宋"/>
          <w:sz w:val="24"/>
        </w:rPr>
      </w:pPr>
    </w:p>
    <w:p w14:paraId="68F844AB">
      <w:pPr>
        <w:widowControl/>
        <w:ind w:right="150" w:rightChars="50" w:firstLine="426" w:firstLineChars="142"/>
        <w:jc w:val="left"/>
        <w:rPr>
          <w:rFonts w:ascii="仿宋" w:hAnsi="仿宋" w:eastAsia="仿宋" w:cs="仿宋"/>
          <w:szCs w:val="30"/>
        </w:rPr>
      </w:pPr>
    </w:p>
    <w:p w14:paraId="0D7B8C6B">
      <w:pPr>
        <w:widowControl/>
        <w:jc w:val="left"/>
        <w:rPr>
          <w:rFonts w:ascii="仿宋" w:hAnsi="仿宋" w:eastAsia="仿宋" w:cs="仿宋"/>
          <w:szCs w:val="30"/>
        </w:rPr>
        <w:sectPr>
          <w:footerReference r:id="rId3" w:type="default"/>
          <w:pgSz w:w="11906" w:h="16838"/>
          <w:pgMar w:top="1077" w:right="1077" w:bottom="1077" w:left="1377" w:header="851" w:footer="992" w:gutter="0"/>
          <w:cols w:space="425" w:num="1"/>
          <w:docGrid w:type="lines" w:linePitch="408" w:charSpace="0"/>
        </w:sectPr>
      </w:pPr>
    </w:p>
    <w:p w14:paraId="5FB0DFFC">
      <w:pPr>
        <w:widowControl/>
        <w:spacing w:line="360" w:lineRule="auto"/>
        <w:jc w:val="left"/>
        <w:rPr>
          <w:rFonts w:ascii="宋体" w:hAnsi="宋体"/>
          <w:sz w:val="24"/>
        </w:rPr>
      </w:pPr>
      <w:r>
        <w:rPr>
          <w:rFonts w:hint="eastAsia" w:ascii="宋体" w:hAnsi="宋体" w:eastAsia="宋体"/>
          <w:sz w:val="24"/>
          <w:szCs w:val="24"/>
        </w:rPr>
        <w:t>附件6：</w:t>
      </w:r>
    </w:p>
    <w:p w14:paraId="3073E9B7">
      <w:pPr>
        <w:widowControl/>
        <w:spacing w:line="360" w:lineRule="auto"/>
        <w:jc w:val="center"/>
        <w:rPr>
          <w:rFonts w:ascii="仿宋" w:hAnsi="仿宋" w:eastAsia="仿宋"/>
          <w:sz w:val="32"/>
          <w:szCs w:val="32"/>
        </w:rPr>
      </w:pPr>
      <w:r>
        <w:rPr>
          <w:rFonts w:hint="eastAsia" w:ascii="仿宋" w:hAnsi="仿宋" w:eastAsia="仿宋"/>
          <w:sz w:val="32"/>
          <w:szCs w:val="32"/>
        </w:rPr>
        <w:t>《服务要求响应表》</w:t>
      </w:r>
    </w:p>
    <w:tbl>
      <w:tblPr>
        <w:tblStyle w:val="15"/>
        <w:tblW w:w="151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1074"/>
        <w:gridCol w:w="6236"/>
        <w:gridCol w:w="6236"/>
        <w:gridCol w:w="690"/>
        <w:gridCol w:w="510"/>
      </w:tblGrid>
      <w:tr w14:paraId="4728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46" w:type="dxa"/>
            <w:vAlign w:val="center"/>
          </w:tcPr>
          <w:p w14:paraId="2705BCCB">
            <w:pPr>
              <w:jc w:val="center"/>
              <w:rPr>
                <w:rFonts w:ascii="楷体" w:hAnsi="楷体" w:eastAsia="楷体"/>
                <w:b/>
                <w:bCs/>
                <w:sz w:val="18"/>
                <w:szCs w:val="18"/>
              </w:rPr>
            </w:pPr>
            <w:r>
              <w:rPr>
                <w:rFonts w:ascii="宋体" w:hAnsi="宋体" w:cs="宋体"/>
                <w:b/>
                <w:bCs/>
                <w:color w:val="000000"/>
                <w:sz w:val="18"/>
                <w:szCs w:val="18"/>
              </w:rPr>
              <w:t>序 号</w:t>
            </w:r>
          </w:p>
        </w:tc>
        <w:tc>
          <w:tcPr>
            <w:tcW w:w="1074" w:type="dxa"/>
            <w:vAlign w:val="center"/>
          </w:tcPr>
          <w:p w14:paraId="2FAE020C">
            <w:pPr>
              <w:jc w:val="center"/>
              <w:rPr>
                <w:rFonts w:ascii="楷体" w:hAnsi="楷体"/>
                <w:b/>
                <w:bCs/>
                <w:sz w:val="18"/>
                <w:szCs w:val="18"/>
              </w:rPr>
            </w:pPr>
            <w:r>
              <w:rPr>
                <w:rFonts w:ascii="宋体" w:hAnsi="宋体" w:cs="宋体"/>
                <w:b/>
                <w:bCs/>
                <w:color w:val="000000"/>
                <w:sz w:val="18"/>
                <w:szCs w:val="18"/>
              </w:rPr>
              <w:t>标的名称</w:t>
            </w:r>
          </w:p>
        </w:tc>
        <w:tc>
          <w:tcPr>
            <w:tcW w:w="6236" w:type="dxa"/>
            <w:vAlign w:val="center"/>
          </w:tcPr>
          <w:p w14:paraId="47112A59">
            <w:pPr>
              <w:jc w:val="center"/>
              <w:rPr>
                <w:rFonts w:ascii="宋体" w:hAnsi="宋体" w:cs="宋体"/>
                <w:b/>
                <w:bCs/>
                <w:color w:val="000000"/>
                <w:sz w:val="18"/>
                <w:szCs w:val="18"/>
              </w:rPr>
            </w:pPr>
            <w:r>
              <w:rPr>
                <w:rFonts w:ascii="宋体" w:hAnsi="宋体" w:cs="宋体"/>
                <w:b/>
                <w:bCs/>
                <w:color w:val="000000"/>
                <w:sz w:val="18"/>
                <w:szCs w:val="18"/>
              </w:rPr>
              <w:t>采购文件规定的</w:t>
            </w:r>
          </w:p>
          <w:p w14:paraId="0730BD56">
            <w:pPr>
              <w:jc w:val="center"/>
              <w:rPr>
                <w:rFonts w:ascii="楷体" w:hAnsi="楷体"/>
                <w:b/>
                <w:bCs/>
                <w:sz w:val="18"/>
                <w:szCs w:val="18"/>
              </w:rPr>
            </w:pPr>
            <w:r>
              <w:rPr>
                <w:rFonts w:ascii="宋体" w:hAnsi="宋体" w:cs="宋体"/>
                <w:b/>
                <w:bCs/>
                <w:color w:val="000000"/>
                <w:sz w:val="18"/>
                <w:szCs w:val="18"/>
              </w:rPr>
              <w:t>技术和服务要求</w:t>
            </w:r>
          </w:p>
        </w:tc>
        <w:tc>
          <w:tcPr>
            <w:tcW w:w="6236" w:type="dxa"/>
            <w:vAlign w:val="center"/>
          </w:tcPr>
          <w:p w14:paraId="1D32BC0C">
            <w:pPr>
              <w:jc w:val="center"/>
              <w:rPr>
                <w:rFonts w:ascii="宋体" w:hAnsi="宋体" w:cs="宋体"/>
                <w:b/>
                <w:bCs/>
                <w:color w:val="000000"/>
                <w:sz w:val="18"/>
                <w:szCs w:val="18"/>
              </w:rPr>
            </w:pPr>
            <w:r>
              <w:rPr>
                <w:rFonts w:ascii="宋体" w:hAnsi="宋体" w:cs="宋体"/>
                <w:b/>
                <w:bCs/>
                <w:color w:val="000000"/>
                <w:sz w:val="18"/>
                <w:szCs w:val="18"/>
              </w:rPr>
              <w:t>投标文件响应的</w:t>
            </w:r>
          </w:p>
          <w:p w14:paraId="7E96665C">
            <w:pPr>
              <w:jc w:val="center"/>
              <w:rPr>
                <w:rFonts w:ascii="楷体" w:hAnsi="楷体"/>
                <w:b/>
                <w:bCs/>
                <w:sz w:val="18"/>
                <w:szCs w:val="18"/>
              </w:rPr>
            </w:pPr>
            <w:r>
              <w:rPr>
                <w:rFonts w:ascii="宋体" w:hAnsi="宋体" w:cs="宋体"/>
                <w:b/>
                <w:bCs/>
                <w:color w:val="000000"/>
                <w:sz w:val="18"/>
                <w:szCs w:val="18"/>
              </w:rPr>
              <w:t>具体内容</w:t>
            </w:r>
          </w:p>
        </w:tc>
        <w:tc>
          <w:tcPr>
            <w:tcW w:w="690" w:type="dxa"/>
            <w:vAlign w:val="center"/>
          </w:tcPr>
          <w:p w14:paraId="23C8D292">
            <w:pPr>
              <w:jc w:val="center"/>
              <w:rPr>
                <w:rFonts w:ascii="楷体" w:hAnsi="楷体"/>
                <w:b/>
                <w:bCs/>
                <w:sz w:val="18"/>
                <w:szCs w:val="18"/>
              </w:rPr>
            </w:pPr>
            <w:r>
              <w:rPr>
                <w:rFonts w:ascii="宋体" w:hAnsi="宋体" w:cs="宋体"/>
                <w:b/>
                <w:bCs/>
                <w:color w:val="000000"/>
                <w:sz w:val="18"/>
                <w:szCs w:val="18"/>
              </w:rPr>
              <w:t>是否偏离</w:t>
            </w:r>
          </w:p>
        </w:tc>
        <w:tc>
          <w:tcPr>
            <w:tcW w:w="510" w:type="dxa"/>
            <w:vAlign w:val="center"/>
          </w:tcPr>
          <w:p w14:paraId="453A3C40">
            <w:pPr>
              <w:jc w:val="center"/>
              <w:rPr>
                <w:rFonts w:ascii="楷体" w:hAnsi="楷体" w:eastAsia="楷体"/>
                <w:b/>
                <w:bCs/>
                <w:sz w:val="18"/>
                <w:szCs w:val="18"/>
              </w:rPr>
            </w:pPr>
            <w:r>
              <w:rPr>
                <w:rFonts w:ascii="宋体" w:hAnsi="宋体" w:cs="宋体"/>
                <w:b/>
                <w:bCs/>
                <w:color w:val="000000"/>
                <w:sz w:val="18"/>
                <w:szCs w:val="18"/>
              </w:rPr>
              <w:t>备 注</w:t>
            </w:r>
          </w:p>
        </w:tc>
      </w:tr>
      <w:tr w14:paraId="00A0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57796262">
            <w:pPr>
              <w:jc w:val="center"/>
              <w:rPr>
                <w:rFonts w:ascii="楷体" w:hAnsi="楷体" w:eastAsia="楷体"/>
                <w:sz w:val="18"/>
                <w:szCs w:val="18"/>
              </w:rPr>
            </w:pPr>
            <w:r>
              <w:rPr>
                <w:rFonts w:hint="eastAsia" w:ascii="楷体" w:hAnsi="楷体" w:eastAsia="楷体"/>
                <w:sz w:val="18"/>
                <w:szCs w:val="18"/>
              </w:rPr>
              <w:t>1</w:t>
            </w:r>
          </w:p>
        </w:tc>
        <w:tc>
          <w:tcPr>
            <w:tcW w:w="1074" w:type="dxa"/>
            <w:vMerge w:val="restart"/>
            <w:vAlign w:val="center"/>
          </w:tcPr>
          <w:p w14:paraId="38A34AB9">
            <w:pPr>
              <w:pStyle w:val="41"/>
              <w:jc w:val="center"/>
              <w:rPr>
                <w:rFonts w:hint="default" w:ascii="楷体" w:hAnsi="楷体" w:eastAsia="楷体"/>
                <w:sz w:val="18"/>
                <w:szCs w:val="18"/>
              </w:rPr>
            </w:pPr>
            <w:r>
              <w:rPr>
                <w:rFonts w:ascii="楷体" w:hAnsi="楷体" w:eastAsia="楷体"/>
                <w:sz w:val="18"/>
                <w:szCs w:val="18"/>
              </w:rPr>
              <w:t>总体服务要求</w:t>
            </w:r>
          </w:p>
        </w:tc>
        <w:tc>
          <w:tcPr>
            <w:tcW w:w="6236" w:type="dxa"/>
          </w:tcPr>
          <w:p w14:paraId="14221338">
            <w:pPr>
              <w:spacing w:line="300" w:lineRule="exact"/>
              <w:ind w:firstLine="400" w:firstLineChars="200"/>
              <w:rPr>
                <w:rFonts w:ascii="楷体" w:hAnsi="楷体" w:eastAsia="楷体"/>
                <w:sz w:val="18"/>
                <w:szCs w:val="18"/>
              </w:rPr>
            </w:pPr>
            <w:r>
              <w:rPr>
                <w:rFonts w:hint="eastAsia" w:asciiTheme="minorEastAsia" w:hAnsiTheme="minorEastAsia" w:eastAsiaTheme="minorEastAsia" w:cstheme="minorEastAsia"/>
                <w:sz w:val="20"/>
              </w:rPr>
              <w:t>1.中标供应商对其维护保养的电梯安全性能负责，按照《特种设备法》、《广东省电梯使用安全条例》、维护保养合同、以及相关的法律法规、安全技术规范和标准的规定对电梯进行维护保养，确保维护保养质量，依据法律法规和采购人委托事项履行安全管理义务，并承担相应的责任。</w:t>
            </w:r>
          </w:p>
        </w:tc>
        <w:tc>
          <w:tcPr>
            <w:tcW w:w="6236" w:type="dxa"/>
            <w:vAlign w:val="center"/>
          </w:tcPr>
          <w:p w14:paraId="726243C3">
            <w:pPr>
              <w:jc w:val="center"/>
              <w:rPr>
                <w:rFonts w:ascii="楷体" w:hAnsi="楷体" w:eastAsia="楷体"/>
                <w:sz w:val="18"/>
                <w:szCs w:val="18"/>
              </w:rPr>
            </w:pPr>
          </w:p>
        </w:tc>
        <w:tc>
          <w:tcPr>
            <w:tcW w:w="690" w:type="dxa"/>
            <w:vAlign w:val="center"/>
          </w:tcPr>
          <w:p w14:paraId="33D9F676">
            <w:pPr>
              <w:jc w:val="center"/>
              <w:rPr>
                <w:rFonts w:ascii="楷体" w:hAnsi="楷体" w:eastAsia="楷体"/>
                <w:sz w:val="18"/>
                <w:szCs w:val="18"/>
              </w:rPr>
            </w:pPr>
          </w:p>
        </w:tc>
        <w:tc>
          <w:tcPr>
            <w:tcW w:w="510" w:type="dxa"/>
            <w:vAlign w:val="center"/>
          </w:tcPr>
          <w:p w14:paraId="438E750B">
            <w:pPr>
              <w:jc w:val="center"/>
              <w:rPr>
                <w:rFonts w:ascii="楷体" w:hAnsi="楷体" w:eastAsia="楷体"/>
                <w:sz w:val="18"/>
                <w:szCs w:val="18"/>
              </w:rPr>
            </w:pPr>
          </w:p>
        </w:tc>
      </w:tr>
      <w:tr w14:paraId="63A25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15371183">
            <w:pPr>
              <w:jc w:val="center"/>
              <w:rPr>
                <w:rFonts w:ascii="楷体" w:hAnsi="楷体" w:eastAsia="楷体"/>
                <w:sz w:val="18"/>
                <w:szCs w:val="18"/>
              </w:rPr>
            </w:pPr>
            <w:r>
              <w:rPr>
                <w:rFonts w:hint="eastAsia" w:ascii="楷体" w:hAnsi="楷体" w:eastAsia="楷体"/>
                <w:sz w:val="18"/>
                <w:szCs w:val="18"/>
              </w:rPr>
              <w:t>2</w:t>
            </w:r>
          </w:p>
        </w:tc>
        <w:tc>
          <w:tcPr>
            <w:tcW w:w="1074" w:type="dxa"/>
            <w:vMerge w:val="continue"/>
            <w:vAlign w:val="center"/>
          </w:tcPr>
          <w:p w14:paraId="48D096E6">
            <w:pPr>
              <w:pStyle w:val="41"/>
              <w:jc w:val="center"/>
              <w:rPr>
                <w:rFonts w:hint="default" w:ascii="楷体" w:hAnsi="楷体" w:eastAsia="楷体"/>
                <w:sz w:val="18"/>
                <w:szCs w:val="18"/>
              </w:rPr>
            </w:pPr>
          </w:p>
        </w:tc>
        <w:tc>
          <w:tcPr>
            <w:tcW w:w="6236" w:type="dxa"/>
          </w:tcPr>
          <w:p w14:paraId="17FA7B01">
            <w:pPr>
              <w:spacing w:line="300" w:lineRule="exact"/>
              <w:ind w:firstLine="400" w:firstLineChars="200"/>
              <w:rPr>
                <w:rFonts w:ascii="楷体" w:hAnsi="楷体" w:eastAsia="楷体"/>
                <w:sz w:val="18"/>
                <w:szCs w:val="18"/>
              </w:rPr>
            </w:pPr>
            <w:r>
              <w:rPr>
                <w:rFonts w:hint="eastAsia" w:asciiTheme="minorEastAsia" w:hAnsiTheme="minorEastAsia" w:eastAsiaTheme="minorEastAsia" w:cstheme="minorEastAsia"/>
                <w:sz w:val="20"/>
              </w:rPr>
              <w:t>2.项目保养内容、主要技术规范及服务要求按照国家行业等执行相关的要求，对每台电梯进行维护保养，并且按照《乘客电梯、载货电梯日常维护保养记录》要求填写记录，建立电梯档案。</w:t>
            </w:r>
          </w:p>
        </w:tc>
        <w:tc>
          <w:tcPr>
            <w:tcW w:w="6236" w:type="dxa"/>
            <w:vAlign w:val="center"/>
          </w:tcPr>
          <w:p w14:paraId="7C7B62A1">
            <w:pPr>
              <w:jc w:val="center"/>
              <w:rPr>
                <w:rFonts w:ascii="楷体" w:hAnsi="楷体" w:eastAsia="楷体"/>
                <w:sz w:val="18"/>
                <w:szCs w:val="18"/>
              </w:rPr>
            </w:pPr>
          </w:p>
        </w:tc>
        <w:tc>
          <w:tcPr>
            <w:tcW w:w="690" w:type="dxa"/>
            <w:vAlign w:val="center"/>
          </w:tcPr>
          <w:p w14:paraId="550FAED9">
            <w:pPr>
              <w:jc w:val="center"/>
              <w:rPr>
                <w:rFonts w:ascii="楷体" w:hAnsi="楷体" w:eastAsia="楷体"/>
                <w:sz w:val="18"/>
                <w:szCs w:val="18"/>
              </w:rPr>
            </w:pPr>
          </w:p>
        </w:tc>
        <w:tc>
          <w:tcPr>
            <w:tcW w:w="510" w:type="dxa"/>
            <w:vAlign w:val="center"/>
          </w:tcPr>
          <w:p w14:paraId="2F985C37">
            <w:pPr>
              <w:jc w:val="center"/>
              <w:rPr>
                <w:rFonts w:ascii="楷体" w:hAnsi="楷体" w:eastAsia="楷体"/>
                <w:sz w:val="18"/>
                <w:szCs w:val="18"/>
              </w:rPr>
            </w:pPr>
          </w:p>
        </w:tc>
      </w:tr>
      <w:tr w14:paraId="51B44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782E3B95">
            <w:pPr>
              <w:jc w:val="center"/>
              <w:rPr>
                <w:rFonts w:ascii="楷体" w:hAnsi="楷体" w:eastAsia="楷体"/>
                <w:sz w:val="18"/>
                <w:szCs w:val="18"/>
              </w:rPr>
            </w:pPr>
            <w:r>
              <w:rPr>
                <w:rFonts w:hint="eastAsia" w:ascii="楷体" w:hAnsi="楷体" w:eastAsia="楷体"/>
                <w:sz w:val="18"/>
                <w:szCs w:val="18"/>
              </w:rPr>
              <w:t>3</w:t>
            </w:r>
          </w:p>
        </w:tc>
        <w:tc>
          <w:tcPr>
            <w:tcW w:w="1074" w:type="dxa"/>
            <w:vMerge w:val="continue"/>
            <w:vAlign w:val="center"/>
          </w:tcPr>
          <w:p w14:paraId="278FA69D">
            <w:pPr>
              <w:pStyle w:val="41"/>
              <w:jc w:val="center"/>
              <w:rPr>
                <w:rFonts w:hint="default" w:ascii="楷体" w:hAnsi="楷体" w:eastAsia="楷体"/>
                <w:sz w:val="18"/>
                <w:szCs w:val="18"/>
              </w:rPr>
            </w:pPr>
          </w:p>
        </w:tc>
        <w:tc>
          <w:tcPr>
            <w:tcW w:w="6236" w:type="dxa"/>
          </w:tcPr>
          <w:p w14:paraId="2A4C4114">
            <w:pPr>
              <w:spacing w:line="300" w:lineRule="exact"/>
              <w:ind w:firstLine="400" w:firstLineChars="200"/>
              <w:rPr>
                <w:rFonts w:ascii="楷体" w:hAnsi="楷体" w:eastAsia="楷体"/>
                <w:sz w:val="18"/>
                <w:szCs w:val="18"/>
              </w:rPr>
            </w:pPr>
            <w:r>
              <w:rPr>
                <w:rFonts w:hint="eastAsia" w:asciiTheme="minorEastAsia" w:hAnsiTheme="minorEastAsia" w:eastAsiaTheme="minorEastAsia" w:cstheme="minorEastAsia"/>
                <w:sz w:val="20"/>
              </w:rPr>
              <w:t>3.投标供应商拟投入本项目项目负责人（1人）需具有电气或机械初级或以上工程师职称。拟投入电梯相关人员（10人或以上），工种为电梯安装维修工。（提供承诺函和工作证明）</w:t>
            </w:r>
          </w:p>
        </w:tc>
        <w:tc>
          <w:tcPr>
            <w:tcW w:w="6236" w:type="dxa"/>
            <w:vAlign w:val="center"/>
          </w:tcPr>
          <w:p w14:paraId="6CA9E90E">
            <w:pPr>
              <w:jc w:val="center"/>
              <w:rPr>
                <w:rFonts w:ascii="楷体" w:hAnsi="楷体" w:eastAsia="楷体"/>
                <w:sz w:val="18"/>
                <w:szCs w:val="18"/>
              </w:rPr>
            </w:pPr>
          </w:p>
        </w:tc>
        <w:tc>
          <w:tcPr>
            <w:tcW w:w="690" w:type="dxa"/>
            <w:vAlign w:val="center"/>
          </w:tcPr>
          <w:p w14:paraId="57018F1E">
            <w:pPr>
              <w:jc w:val="center"/>
              <w:rPr>
                <w:rFonts w:ascii="楷体" w:hAnsi="楷体" w:eastAsia="楷体"/>
                <w:sz w:val="18"/>
                <w:szCs w:val="18"/>
              </w:rPr>
            </w:pPr>
          </w:p>
        </w:tc>
        <w:tc>
          <w:tcPr>
            <w:tcW w:w="510" w:type="dxa"/>
            <w:vAlign w:val="center"/>
          </w:tcPr>
          <w:p w14:paraId="62D45531">
            <w:pPr>
              <w:jc w:val="center"/>
              <w:rPr>
                <w:rFonts w:ascii="楷体" w:hAnsi="楷体" w:eastAsia="楷体"/>
                <w:sz w:val="18"/>
                <w:szCs w:val="18"/>
              </w:rPr>
            </w:pPr>
          </w:p>
        </w:tc>
      </w:tr>
      <w:tr w14:paraId="1893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7700B4E8">
            <w:pPr>
              <w:jc w:val="center"/>
              <w:rPr>
                <w:rFonts w:ascii="楷体" w:hAnsi="楷体" w:eastAsia="楷体"/>
                <w:sz w:val="18"/>
                <w:szCs w:val="18"/>
              </w:rPr>
            </w:pPr>
            <w:r>
              <w:rPr>
                <w:rFonts w:hint="eastAsia" w:ascii="楷体" w:hAnsi="楷体" w:eastAsia="楷体"/>
                <w:sz w:val="18"/>
                <w:szCs w:val="18"/>
              </w:rPr>
              <w:t>4</w:t>
            </w:r>
          </w:p>
        </w:tc>
        <w:tc>
          <w:tcPr>
            <w:tcW w:w="1074" w:type="dxa"/>
            <w:vMerge w:val="continue"/>
            <w:vAlign w:val="center"/>
          </w:tcPr>
          <w:p w14:paraId="72A04198">
            <w:pPr>
              <w:pStyle w:val="41"/>
              <w:jc w:val="center"/>
              <w:rPr>
                <w:rFonts w:hint="default" w:ascii="楷体" w:hAnsi="楷体" w:eastAsia="楷体"/>
                <w:sz w:val="18"/>
                <w:szCs w:val="18"/>
              </w:rPr>
            </w:pPr>
          </w:p>
        </w:tc>
        <w:tc>
          <w:tcPr>
            <w:tcW w:w="6236" w:type="dxa"/>
          </w:tcPr>
          <w:p w14:paraId="4AD5970D">
            <w:pPr>
              <w:spacing w:line="300" w:lineRule="exact"/>
              <w:ind w:firstLine="400" w:firstLineChars="200"/>
              <w:rPr>
                <w:rFonts w:ascii="楷体" w:hAnsi="楷体" w:eastAsia="楷体"/>
                <w:sz w:val="18"/>
                <w:szCs w:val="18"/>
              </w:rPr>
            </w:pPr>
            <w:r>
              <w:rPr>
                <w:rFonts w:hint="eastAsia" w:asciiTheme="minorEastAsia" w:hAnsiTheme="minorEastAsia" w:eastAsiaTheme="minorEastAsia" w:cstheme="minorEastAsia"/>
                <w:sz w:val="20"/>
              </w:rPr>
              <w:t>4.所派的技术人员须持有有效的特种作业操作证和作业人员证T类(电梯作业类)。(投标时提供承诺函，承诺相关人员的证书在项目实施时满足上述条件)</w:t>
            </w:r>
          </w:p>
        </w:tc>
        <w:tc>
          <w:tcPr>
            <w:tcW w:w="6236" w:type="dxa"/>
            <w:vAlign w:val="center"/>
          </w:tcPr>
          <w:p w14:paraId="3FDFD7BD">
            <w:pPr>
              <w:jc w:val="center"/>
              <w:rPr>
                <w:rFonts w:ascii="楷体" w:hAnsi="楷体" w:eastAsia="楷体"/>
                <w:sz w:val="18"/>
                <w:szCs w:val="18"/>
              </w:rPr>
            </w:pPr>
          </w:p>
        </w:tc>
        <w:tc>
          <w:tcPr>
            <w:tcW w:w="690" w:type="dxa"/>
            <w:vAlign w:val="center"/>
          </w:tcPr>
          <w:p w14:paraId="16C8C2D6">
            <w:pPr>
              <w:jc w:val="center"/>
              <w:rPr>
                <w:rFonts w:ascii="楷体" w:hAnsi="楷体" w:eastAsia="楷体"/>
                <w:sz w:val="18"/>
                <w:szCs w:val="18"/>
              </w:rPr>
            </w:pPr>
          </w:p>
        </w:tc>
        <w:tc>
          <w:tcPr>
            <w:tcW w:w="510" w:type="dxa"/>
            <w:vAlign w:val="center"/>
          </w:tcPr>
          <w:p w14:paraId="7009E8EF">
            <w:pPr>
              <w:jc w:val="center"/>
              <w:rPr>
                <w:rFonts w:ascii="楷体" w:hAnsi="楷体" w:eastAsia="楷体"/>
                <w:sz w:val="18"/>
                <w:szCs w:val="18"/>
              </w:rPr>
            </w:pPr>
          </w:p>
        </w:tc>
      </w:tr>
      <w:tr w14:paraId="59076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250A1931">
            <w:pPr>
              <w:jc w:val="center"/>
              <w:rPr>
                <w:rFonts w:ascii="楷体" w:hAnsi="楷体" w:eastAsia="楷体"/>
                <w:sz w:val="18"/>
                <w:szCs w:val="18"/>
              </w:rPr>
            </w:pPr>
            <w:r>
              <w:rPr>
                <w:rFonts w:hint="eastAsia" w:ascii="楷体" w:hAnsi="楷体" w:eastAsia="楷体"/>
                <w:sz w:val="18"/>
                <w:szCs w:val="18"/>
              </w:rPr>
              <w:t>5</w:t>
            </w:r>
          </w:p>
        </w:tc>
        <w:tc>
          <w:tcPr>
            <w:tcW w:w="1074" w:type="dxa"/>
            <w:vMerge w:val="continue"/>
            <w:vAlign w:val="center"/>
          </w:tcPr>
          <w:p w14:paraId="4E087F46">
            <w:pPr>
              <w:pStyle w:val="41"/>
              <w:jc w:val="center"/>
              <w:rPr>
                <w:rFonts w:hint="default" w:ascii="楷体" w:hAnsi="楷体" w:eastAsia="楷体"/>
                <w:sz w:val="18"/>
                <w:szCs w:val="18"/>
              </w:rPr>
            </w:pPr>
          </w:p>
        </w:tc>
        <w:tc>
          <w:tcPr>
            <w:tcW w:w="6236" w:type="dxa"/>
          </w:tcPr>
          <w:p w14:paraId="19E8E12F">
            <w:pPr>
              <w:spacing w:line="300" w:lineRule="exact"/>
              <w:ind w:firstLine="400" w:firstLineChars="200"/>
              <w:rPr>
                <w:rFonts w:ascii="楷体" w:hAnsi="楷体" w:eastAsia="楷体"/>
                <w:sz w:val="18"/>
                <w:szCs w:val="18"/>
              </w:rPr>
            </w:pPr>
            <w:r>
              <w:rPr>
                <w:rFonts w:hint="eastAsia" w:asciiTheme="minorEastAsia" w:hAnsiTheme="minorEastAsia" w:eastAsiaTheme="minorEastAsia" w:cstheme="minorEastAsia"/>
                <w:sz w:val="20"/>
              </w:rPr>
              <w:t>5.投标供应商需设有24小时应急响应电话，服务期内提供全年24小时召修和应急服务，发生电梯困人或紧急故障召修时，要求30分钟内维保人员到达现场处理，确保电梯的应急服务及安全，对一般故障（如按钮失灵、异响）可按常规区域时限响应，在紧急情况发生时，须在规定响应时间内提供有效解决方案。</w:t>
            </w:r>
          </w:p>
        </w:tc>
        <w:tc>
          <w:tcPr>
            <w:tcW w:w="6236" w:type="dxa"/>
            <w:vAlign w:val="center"/>
          </w:tcPr>
          <w:p w14:paraId="37992BAB">
            <w:pPr>
              <w:jc w:val="center"/>
              <w:rPr>
                <w:rFonts w:ascii="楷体" w:hAnsi="楷体" w:eastAsia="楷体"/>
                <w:sz w:val="18"/>
                <w:szCs w:val="18"/>
              </w:rPr>
            </w:pPr>
          </w:p>
        </w:tc>
        <w:tc>
          <w:tcPr>
            <w:tcW w:w="690" w:type="dxa"/>
            <w:vAlign w:val="center"/>
          </w:tcPr>
          <w:p w14:paraId="054C6A4D">
            <w:pPr>
              <w:jc w:val="center"/>
              <w:rPr>
                <w:rFonts w:ascii="楷体" w:hAnsi="楷体" w:eastAsia="楷体"/>
                <w:sz w:val="18"/>
                <w:szCs w:val="18"/>
              </w:rPr>
            </w:pPr>
          </w:p>
        </w:tc>
        <w:tc>
          <w:tcPr>
            <w:tcW w:w="510" w:type="dxa"/>
            <w:vAlign w:val="center"/>
          </w:tcPr>
          <w:p w14:paraId="2A9B5F6F">
            <w:pPr>
              <w:jc w:val="center"/>
              <w:rPr>
                <w:rFonts w:ascii="楷体" w:hAnsi="楷体" w:eastAsia="楷体"/>
                <w:sz w:val="18"/>
                <w:szCs w:val="18"/>
              </w:rPr>
            </w:pPr>
          </w:p>
        </w:tc>
      </w:tr>
      <w:tr w14:paraId="6C6E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09A34085">
            <w:pPr>
              <w:jc w:val="center"/>
              <w:rPr>
                <w:rFonts w:ascii="楷体" w:hAnsi="楷体" w:eastAsia="楷体"/>
                <w:sz w:val="18"/>
                <w:szCs w:val="18"/>
              </w:rPr>
            </w:pPr>
            <w:r>
              <w:rPr>
                <w:rFonts w:hint="eastAsia" w:ascii="楷体" w:hAnsi="楷体" w:eastAsia="楷体"/>
                <w:sz w:val="18"/>
                <w:szCs w:val="18"/>
              </w:rPr>
              <w:t>6</w:t>
            </w:r>
          </w:p>
        </w:tc>
        <w:tc>
          <w:tcPr>
            <w:tcW w:w="1074" w:type="dxa"/>
            <w:vMerge w:val="continue"/>
            <w:vAlign w:val="center"/>
          </w:tcPr>
          <w:p w14:paraId="2B25E500">
            <w:pPr>
              <w:pStyle w:val="41"/>
              <w:jc w:val="center"/>
              <w:rPr>
                <w:rFonts w:hint="default" w:ascii="楷体" w:hAnsi="楷体" w:eastAsia="楷体"/>
                <w:sz w:val="18"/>
                <w:szCs w:val="18"/>
              </w:rPr>
            </w:pPr>
          </w:p>
        </w:tc>
        <w:tc>
          <w:tcPr>
            <w:tcW w:w="6236" w:type="dxa"/>
          </w:tcPr>
          <w:p w14:paraId="5797D360">
            <w:pPr>
              <w:spacing w:line="300" w:lineRule="exact"/>
              <w:ind w:firstLine="400" w:firstLineChars="200"/>
              <w:rPr>
                <w:rFonts w:ascii="楷体" w:hAnsi="楷体" w:eastAsia="楷体"/>
                <w:sz w:val="18"/>
                <w:szCs w:val="18"/>
              </w:rPr>
            </w:pPr>
            <w:r>
              <w:rPr>
                <w:rFonts w:hint="eastAsia" w:asciiTheme="minorEastAsia" w:hAnsiTheme="minorEastAsia" w:eastAsiaTheme="minorEastAsia" w:cstheme="minorEastAsia"/>
                <w:sz w:val="20"/>
              </w:rPr>
              <w:t>6.中标供应商维修保养过程中检查发现零配件损坏，24小时内向采购方提供零配件损坏检测报告和更换零配件报价单，经采购方同意确认后方可进行更换，费用由采购方支付。供应商维保期间操作失误导致电梯零配件损坏，由供应商承担维修和更换损坏的零部件费用。采购方有权委托第三方进行检测和维修。</w:t>
            </w:r>
          </w:p>
        </w:tc>
        <w:tc>
          <w:tcPr>
            <w:tcW w:w="6236" w:type="dxa"/>
            <w:vAlign w:val="center"/>
          </w:tcPr>
          <w:p w14:paraId="1A834D10">
            <w:pPr>
              <w:jc w:val="center"/>
              <w:rPr>
                <w:rFonts w:ascii="楷体" w:hAnsi="楷体" w:eastAsia="楷体"/>
                <w:sz w:val="18"/>
                <w:szCs w:val="18"/>
              </w:rPr>
            </w:pPr>
          </w:p>
        </w:tc>
        <w:tc>
          <w:tcPr>
            <w:tcW w:w="690" w:type="dxa"/>
            <w:vAlign w:val="center"/>
          </w:tcPr>
          <w:p w14:paraId="15E59381">
            <w:pPr>
              <w:jc w:val="center"/>
              <w:rPr>
                <w:rFonts w:ascii="楷体" w:hAnsi="楷体" w:eastAsia="楷体"/>
                <w:sz w:val="18"/>
                <w:szCs w:val="18"/>
              </w:rPr>
            </w:pPr>
          </w:p>
        </w:tc>
        <w:tc>
          <w:tcPr>
            <w:tcW w:w="510" w:type="dxa"/>
            <w:vAlign w:val="center"/>
          </w:tcPr>
          <w:p w14:paraId="1785BDAE">
            <w:pPr>
              <w:jc w:val="center"/>
              <w:rPr>
                <w:rFonts w:ascii="楷体" w:hAnsi="楷体" w:eastAsia="楷体"/>
                <w:sz w:val="18"/>
                <w:szCs w:val="18"/>
              </w:rPr>
            </w:pPr>
          </w:p>
        </w:tc>
      </w:tr>
      <w:tr w14:paraId="103D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2FEE6437">
            <w:pPr>
              <w:jc w:val="center"/>
              <w:rPr>
                <w:rFonts w:ascii="楷体" w:hAnsi="楷体" w:eastAsia="楷体"/>
                <w:sz w:val="18"/>
                <w:szCs w:val="18"/>
              </w:rPr>
            </w:pPr>
            <w:r>
              <w:rPr>
                <w:rFonts w:hint="eastAsia" w:ascii="楷体" w:hAnsi="楷体" w:eastAsia="楷体"/>
                <w:sz w:val="18"/>
                <w:szCs w:val="18"/>
              </w:rPr>
              <w:t>7</w:t>
            </w:r>
          </w:p>
        </w:tc>
        <w:tc>
          <w:tcPr>
            <w:tcW w:w="1074" w:type="dxa"/>
            <w:vMerge w:val="restart"/>
            <w:vAlign w:val="center"/>
          </w:tcPr>
          <w:p w14:paraId="6D0AA06C">
            <w:pPr>
              <w:pStyle w:val="41"/>
              <w:jc w:val="center"/>
              <w:rPr>
                <w:rFonts w:hint="default" w:ascii="楷体" w:hAnsi="楷体" w:eastAsia="楷体"/>
                <w:sz w:val="18"/>
                <w:szCs w:val="18"/>
              </w:rPr>
            </w:pPr>
            <w:r>
              <w:rPr>
                <w:rFonts w:ascii="楷体" w:hAnsi="楷体" w:eastAsia="楷体"/>
                <w:sz w:val="18"/>
                <w:szCs w:val="18"/>
              </w:rPr>
              <w:t>具体服务要求</w:t>
            </w:r>
          </w:p>
        </w:tc>
        <w:tc>
          <w:tcPr>
            <w:tcW w:w="6236" w:type="dxa"/>
          </w:tcPr>
          <w:p w14:paraId="7A8D9879">
            <w:pPr>
              <w:spacing w:line="300" w:lineRule="exact"/>
              <w:ind w:firstLine="400" w:firstLineChars="200"/>
              <w:rPr>
                <w:rFonts w:ascii="楷体" w:hAnsi="楷体" w:eastAsia="楷体"/>
                <w:sz w:val="18"/>
                <w:szCs w:val="18"/>
              </w:rPr>
            </w:pPr>
            <w:r>
              <w:rPr>
                <w:rFonts w:hint="eastAsia" w:asciiTheme="minorEastAsia" w:hAnsiTheme="minorEastAsia" w:eastAsiaTheme="minorEastAsia" w:cstheme="minorEastAsia"/>
                <w:sz w:val="20"/>
              </w:rPr>
              <w:t>1.根据国家对特种设备的管理规定，以及现行有效的《中华人民共和国特种设备安全法》（最新版本实施）和《特种设备安全监察条例》（最新版本实施），本着确保电梯设备安全正常运行的原则开展工作。</w:t>
            </w:r>
          </w:p>
        </w:tc>
        <w:tc>
          <w:tcPr>
            <w:tcW w:w="6236" w:type="dxa"/>
            <w:vAlign w:val="center"/>
          </w:tcPr>
          <w:p w14:paraId="57964F11">
            <w:pPr>
              <w:jc w:val="center"/>
              <w:rPr>
                <w:rFonts w:ascii="楷体" w:hAnsi="楷体" w:eastAsia="楷体"/>
                <w:sz w:val="18"/>
                <w:szCs w:val="18"/>
              </w:rPr>
            </w:pPr>
          </w:p>
        </w:tc>
        <w:tc>
          <w:tcPr>
            <w:tcW w:w="690" w:type="dxa"/>
            <w:vAlign w:val="center"/>
          </w:tcPr>
          <w:p w14:paraId="74D3C8BE">
            <w:pPr>
              <w:jc w:val="center"/>
              <w:rPr>
                <w:rFonts w:ascii="楷体" w:hAnsi="楷体" w:eastAsia="楷体"/>
                <w:sz w:val="18"/>
                <w:szCs w:val="18"/>
              </w:rPr>
            </w:pPr>
          </w:p>
        </w:tc>
        <w:tc>
          <w:tcPr>
            <w:tcW w:w="510" w:type="dxa"/>
            <w:vAlign w:val="center"/>
          </w:tcPr>
          <w:p w14:paraId="3EA6C6A6">
            <w:pPr>
              <w:jc w:val="center"/>
              <w:rPr>
                <w:rFonts w:ascii="楷体" w:hAnsi="楷体" w:eastAsia="楷体"/>
                <w:sz w:val="18"/>
                <w:szCs w:val="18"/>
              </w:rPr>
            </w:pPr>
          </w:p>
        </w:tc>
      </w:tr>
      <w:tr w14:paraId="21FF9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101E8D49">
            <w:pPr>
              <w:jc w:val="center"/>
              <w:rPr>
                <w:rFonts w:ascii="楷体" w:hAnsi="楷体" w:eastAsia="楷体"/>
                <w:sz w:val="18"/>
                <w:szCs w:val="18"/>
              </w:rPr>
            </w:pPr>
            <w:r>
              <w:rPr>
                <w:rFonts w:hint="eastAsia" w:ascii="楷体" w:hAnsi="楷体" w:eastAsia="楷体"/>
                <w:sz w:val="18"/>
                <w:szCs w:val="18"/>
              </w:rPr>
              <w:t>8</w:t>
            </w:r>
          </w:p>
        </w:tc>
        <w:tc>
          <w:tcPr>
            <w:tcW w:w="1074" w:type="dxa"/>
            <w:vMerge w:val="continue"/>
            <w:vAlign w:val="center"/>
          </w:tcPr>
          <w:p w14:paraId="5D4D7EDE">
            <w:pPr>
              <w:pStyle w:val="41"/>
              <w:jc w:val="center"/>
              <w:rPr>
                <w:rFonts w:hint="default" w:ascii="楷体" w:hAnsi="楷体" w:eastAsia="楷体"/>
                <w:sz w:val="18"/>
                <w:szCs w:val="18"/>
              </w:rPr>
            </w:pPr>
          </w:p>
        </w:tc>
        <w:tc>
          <w:tcPr>
            <w:tcW w:w="6236" w:type="dxa"/>
          </w:tcPr>
          <w:p w14:paraId="081ED40A">
            <w:pPr>
              <w:spacing w:line="300" w:lineRule="exact"/>
              <w:ind w:firstLine="400" w:firstLineChars="200"/>
              <w:rPr>
                <w:rFonts w:ascii="楷体" w:hAnsi="楷体" w:eastAsia="楷体"/>
                <w:sz w:val="18"/>
                <w:szCs w:val="18"/>
              </w:rPr>
            </w:pPr>
            <w:r>
              <w:rPr>
                <w:rFonts w:hint="eastAsia" w:asciiTheme="minorEastAsia" w:hAnsiTheme="minorEastAsia" w:eastAsiaTheme="minorEastAsia" w:cstheme="minorEastAsia"/>
                <w:sz w:val="20"/>
              </w:rPr>
              <w:t>2.服务期内，中标供应商按国家制定的TSG规范文件进行维护保养，每次保养工作完毕，双方应在《日常维护保养记录》上签名确认。</w:t>
            </w:r>
          </w:p>
        </w:tc>
        <w:tc>
          <w:tcPr>
            <w:tcW w:w="6236" w:type="dxa"/>
            <w:vAlign w:val="center"/>
          </w:tcPr>
          <w:p w14:paraId="74A2349B">
            <w:pPr>
              <w:jc w:val="center"/>
              <w:rPr>
                <w:rFonts w:ascii="楷体" w:hAnsi="楷体" w:eastAsia="楷体"/>
                <w:sz w:val="18"/>
                <w:szCs w:val="18"/>
              </w:rPr>
            </w:pPr>
          </w:p>
        </w:tc>
        <w:tc>
          <w:tcPr>
            <w:tcW w:w="690" w:type="dxa"/>
            <w:vAlign w:val="center"/>
          </w:tcPr>
          <w:p w14:paraId="4D5426E7">
            <w:pPr>
              <w:jc w:val="center"/>
              <w:rPr>
                <w:rFonts w:ascii="楷体" w:hAnsi="楷体" w:eastAsia="楷体"/>
                <w:sz w:val="18"/>
                <w:szCs w:val="18"/>
              </w:rPr>
            </w:pPr>
          </w:p>
        </w:tc>
        <w:tc>
          <w:tcPr>
            <w:tcW w:w="510" w:type="dxa"/>
            <w:vAlign w:val="center"/>
          </w:tcPr>
          <w:p w14:paraId="58E75216">
            <w:pPr>
              <w:jc w:val="center"/>
              <w:rPr>
                <w:rFonts w:ascii="楷体" w:hAnsi="楷体" w:eastAsia="楷体"/>
                <w:sz w:val="18"/>
                <w:szCs w:val="18"/>
              </w:rPr>
            </w:pPr>
          </w:p>
        </w:tc>
      </w:tr>
      <w:tr w14:paraId="115A2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368C45D9">
            <w:pPr>
              <w:jc w:val="center"/>
              <w:rPr>
                <w:rFonts w:ascii="楷体" w:hAnsi="楷体" w:eastAsia="楷体"/>
                <w:sz w:val="18"/>
                <w:szCs w:val="18"/>
              </w:rPr>
            </w:pPr>
            <w:r>
              <w:rPr>
                <w:rFonts w:hint="eastAsia" w:ascii="楷体" w:hAnsi="楷体" w:eastAsia="楷体"/>
                <w:sz w:val="18"/>
                <w:szCs w:val="18"/>
              </w:rPr>
              <w:t>9</w:t>
            </w:r>
          </w:p>
        </w:tc>
        <w:tc>
          <w:tcPr>
            <w:tcW w:w="1074" w:type="dxa"/>
            <w:vMerge w:val="continue"/>
            <w:vAlign w:val="center"/>
          </w:tcPr>
          <w:p w14:paraId="313E9E43">
            <w:pPr>
              <w:pStyle w:val="41"/>
              <w:jc w:val="center"/>
              <w:rPr>
                <w:rFonts w:hint="default" w:ascii="楷体" w:hAnsi="楷体" w:eastAsia="楷体"/>
                <w:sz w:val="18"/>
                <w:szCs w:val="18"/>
              </w:rPr>
            </w:pPr>
          </w:p>
        </w:tc>
        <w:tc>
          <w:tcPr>
            <w:tcW w:w="6236" w:type="dxa"/>
          </w:tcPr>
          <w:p w14:paraId="4E84BDBC">
            <w:pPr>
              <w:spacing w:line="300" w:lineRule="exact"/>
              <w:ind w:firstLine="400" w:firstLineChars="200"/>
              <w:rPr>
                <w:rFonts w:ascii="楷体" w:hAnsi="楷体" w:eastAsia="楷体"/>
                <w:sz w:val="18"/>
                <w:szCs w:val="18"/>
              </w:rPr>
            </w:pPr>
            <w:r>
              <w:rPr>
                <w:rFonts w:hint="eastAsia" w:asciiTheme="minorEastAsia" w:hAnsiTheme="minorEastAsia" w:eastAsiaTheme="minorEastAsia" w:cstheme="minorEastAsia"/>
                <w:sz w:val="20"/>
              </w:rPr>
              <w:t>3.服务期内，中标供应商需提供包括日常保养、故障维修、紧急救援、年度检修等服务。</w:t>
            </w:r>
          </w:p>
        </w:tc>
        <w:tc>
          <w:tcPr>
            <w:tcW w:w="6236" w:type="dxa"/>
            <w:vAlign w:val="center"/>
          </w:tcPr>
          <w:p w14:paraId="62C80DAB">
            <w:pPr>
              <w:jc w:val="center"/>
              <w:rPr>
                <w:rFonts w:ascii="楷体" w:hAnsi="楷体" w:eastAsia="楷体"/>
                <w:sz w:val="18"/>
                <w:szCs w:val="18"/>
              </w:rPr>
            </w:pPr>
          </w:p>
        </w:tc>
        <w:tc>
          <w:tcPr>
            <w:tcW w:w="690" w:type="dxa"/>
            <w:vAlign w:val="center"/>
          </w:tcPr>
          <w:p w14:paraId="672AF40F">
            <w:pPr>
              <w:jc w:val="center"/>
              <w:rPr>
                <w:rFonts w:ascii="楷体" w:hAnsi="楷体" w:eastAsia="楷体"/>
                <w:sz w:val="18"/>
                <w:szCs w:val="18"/>
              </w:rPr>
            </w:pPr>
          </w:p>
        </w:tc>
        <w:tc>
          <w:tcPr>
            <w:tcW w:w="510" w:type="dxa"/>
            <w:vAlign w:val="center"/>
          </w:tcPr>
          <w:p w14:paraId="2C4CF6BA">
            <w:pPr>
              <w:jc w:val="center"/>
              <w:rPr>
                <w:rFonts w:ascii="楷体" w:hAnsi="楷体" w:eastAsia="楷体"/>
                <w:sz w:val="18"/>
                <w:szCs w:val="18"/>
              </w:rPr>
            </w:pPr>
          </w:p>
        </w:tc>
      </w:tr>
      <w:tr w14:paraId="6E82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397BC168">
            <w:pPr>
              <w:jc w:val="center"/>
              <w:rPr>
                <w:rFonts w:ascii="楷体" w:hAnsi="楷体" w:eastAsia="楷体"/>
                <w:sz w:val="18"/>
                <w:szCs w:val="18"/>
              </w:rPr>
            </w:pPr>
            <w:r>
              <w:rPr>
                <w:rFonts w:hint="eastAsia" w:ascii="楷体" w:hAnsi="楷体" w:eastAsia="楷体"/>
                <w:sz w:val="18"/>
                <w:szCs w:val="18"/>
              </w:rPr>
              <w:t>10</w:t>
            </w:r>
          </w:p>
        </w:tc>
        <w:tc>
          <w:tcPr>
            <w:tcW w:w="1074" w:type="dxa"/>
            <w:vMerge w:val="continue"/>
            <w:vAlign w:val="center"/>
          </w:tcPr>
          <w:p w14:paraId="676D49B8">
            <w:pPr>
              <w:pStyle w:val="41"/>
              <w:jc w:val="center"/>
              <w:rPr>
                <w:rFonts w:hint="default" w:ascii="楷体" w:hAnsi="楷体" w:eastAsia="楷体"/>
                <w:sz w:val="18"/>
                <w:szCs w:val="18"/>
              </w:rPr>
            </w:pPr>
          </w:p>
        </w:tc>
        <w:tc>
          <w:tcPr>
            <w:tcW w:w="6236" w:type="dxa"/>
          </w:tcPr>
          <w:p w14:paraId="41288851">
            <w:pPr>
              <w:spacing w:line="300" w:lineRule="exact"/>
              <w:ind w:firstLine="400" w:firstLineChars="200"/>
              <w:rPr>
                <w:rFonts w:ascii="楷体" w:hAnsi="楷体" w:eastAsia="楷体"/>
                <w:sz w:val="18"/>
                <w:szCs w:val="18"/>
              </w:rPr>
            </w:pPr>
            <w:r>
              <w:rPr>
                <w:rFonts w:hint="eastAsia" w:asciiTheme="minorEastAsia" w:hAnsiTheme="minorEastAsia" w:eastAsiaTheme="minorEastAsia" w:cstheme="minorEastAsia"/>
                <w:sz w:val="20"/>
              </w:rPr>
              <w:t>4.</w:t>
            </w:r>
            <w:r>
              <w:rPr>
                <w:rFonts w:hint="eastAsia" w:asciiTheme="minorEastAsia" w:hAnsiTheme="minorEastAsia" w:eastAsiaTheme="minorEastAsia" w:cstheme="minorEastAsia"/>
                <w:sz w:val="20"/>
                <w:lang w:eastAsia="zh-Hans"/>
              </w:rPr>
              <w:t>服务期内如有重大活动，采购人提前1个工作日通知中标供应商，中标供应商须派遣持有效证书的维保人员至现场全程监护，费用按200元/天计算（含人工及基础工具费用，</w:t>
            </w:r>
            <w:r>
              <w:rPr>
                <w:rFonts w:hint="eastAsia" w:asciiTheme="minorEastAsia" w:hAnsiTheme="minorEastAsia" w:eastAsiaTheme="minorEastAsia" w:cstheme="minorEastAsia"/>
                <w:sz w:val="20"/>
              </w:rPr>
              <w:t>同一校区</w:t>
            </w:r>
            <w:r>
              <w:rPr>
                <w:rFonts w:hint="eastAsia" w:asciiTheme="minorEastAsia" w:hAnsiTheme="minorEastAsia" w:eastAsiaTheme="minorEastAsia" w:cstheme="minorEastAsia"/>
                <w:sz w:val="20"/>
                <w:lang w:eastAsia="zh-Hans"/>
              </w:rPr>
              <w:t>同一自然日</w:t>
            </w:r>
            <w:r>
              <w:rPr>
                <w:rFonts w:hint="eastAsia" w:asciiTheme="minorEastAsia" w:hAnsiTheme="minorEastAsia" w:eastAsiaTheme="minorEastAsia" w:cstheme="minorEastAsia"/>
                <w:sz w:val="20"/>
              </w:rPr>
              <w:t>若</w:t>
            </w:r>
            <w:r>
              <w:rPr>
                <w:rFonts w:hint="eastAsia" w:asciiTheme="minorEastAsia" w:hAnsiTheme="minorEastAsia" w:eastAsiaTheme="minorEastAsia" w:cstheme="minorEastAsia"/>
                <w:sz w:val="20"/>
                <w:lang w:eastAsia="zh-Hans"/>
              </w:rPr>
              <w:t>有多次服务的按一次计算）。若因中标供应商监护不到位导致电梯故障，扣除当次服务费用并承担采购人直接损失</w:t>
            </w:r>
            <w:r>
              <w:rPr>
                <w:rFonts w:hint="eastAsia" w:asciiTheme="minorEastAsia" w:hAnsiTheme="minorEastAsia" w:eastAsiaTheme="minorEastAsia" w:cstheme="minorEastAsia"/>
                <w:sz w:val="20"/>
              </w:rPr>
              <w:t>。</w:t>
            </w:r>
          </w:p>
        </w:tc>
        <w:tc>
          <w:tcPr>
            <w:tcW w:w="6236" w:type="dxa"/>
            <w:vAlign w:val="center"/>
          </w:tcPr>
          <w:p w14:paraId="0D9A59E6">
            <w:pPr>
              <w:jc w:val="center"/>
              <w:rPr>
                <w:rFonts w:ascii="楷体" w:hAnsi="楷体" w:eastAsia="楷体"/>
                <w:sz w:val="18"/>
                <w:szCs w:val="18"/>
              </w:rPr>
            </w:pPr>
          </w:p>
        </w:tc>
        <w:tc>
          <w:tcPr>
            <w:tcW w:w="690" w:type="dxa"/>
            <w:vAlign w:val="center"/>
          </w:tcPr>
          <w:p w14:paraId="0C64E166">
            <w:pPr>
              <w:jc w:val="center"/>
              <w:rPr>
                <w:rFonts w:ascii="楷体" w:hAnsi="楷体" w:eastAsia="楷体"/>
                <w:sz w:val="18"/>
                <w:szCs w:val="18"/>
              </w:rPr>
            </w:pPr>
          </w:p>
        </w:tc>
        <w:tc>
          <w:tcPr>
            <w:tcW w:w="510" w:type="dxa"/>
            <w:vAlign w:val="center"/>
          </w:tcPr>
          <w:p w14:paraId="5C604EA9">
            <w:pPr>
              <w:jc w:val="center"/>
              <w:rPr>
                <w:rFonts w:ascii="楷体" w:hAnsi="楷体" w:eastAsia="楷体"/>
                <w:sz w:val="18"/>
                <w:szCs w:val="18"/>
              </w:rPr>
            </w:pPr>
          </w:p>
        </w:tc>
      </w:tr>
      <w:tr w14:paraId="34A3A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1F0A22B5">
            <w:pPr>
              <w:jc w:val="center"/>
              <w:rPr>
                <w:rFonts w:ascii="楷体" w:hAnsi="楷体" w:eastAsia="楷体"/>
                <w:sz w:val="18"/>
                <w:szCs w:val="18"/>
              </w:rPr>
            </w:pPr>
            <w:r>
              <w:rPr>
                <w:rFonts w:hint="eastAsia" w:ascii="楷体" w:hAnsi="楷体" w:eastAsia="楷体"/>
                <w:sz w:val="18"/>
                <w:szCs w:val="18"/>
              </w:rPr>
              <w:t>11</w:t>
            </w:r>
          </w:p>
        </w:tc>
        <w:tc>
          <w:tcPr>
            <w:tcW w:w="1074" w:type="dxa"/>
            <w:vMerge w:val="continue"/>
            <w:vAlign w:val="center"/>
          </w:tcPr>
          <w:p w14:paraId="72B38E68">
            <w:pPr>
              <w:pStyle w:val="41"/>
              <w:jc w:val="center"/>
              <w:rPr>
                <w:rFonts w:hint="default" w:ascii="楷体" w:hAnsi="楷体" w:eastAsia="楷体"/>
                <w:sz w:val="18"/>
                <w:szCs w:val="18"/>
              </w:rPr>
            </w:pPr>
          </w:p>
        </w:tc>
        <w:tc>
          <w:tcPr>
            <w:tcW w:w="6236" w:type="dxa"/>
          </w:tcPr>
          <w:p w14:paraId="79197299">
            <w:pPr>
              <w:spacing w:line="300" w:lineRule="exact"/>
              <w:ind w:firstLine="400" w:firstLineChars="200"/>
              <w:rPr>
                <w:rFonts w:ascii="楷体" w:hAnsi="楷体" w:eastAsia="楷体"/>
                <w:sz w:val="18"/>
                <w:szCs w:val="18"/>
              </w:rPr>
            </w:pPr>
            <w:r>
              <w:rPr>
                <w:rFonts w:hint="eastAsia" w:asciiTheme="minorEastAsia" w:hAnsiTheme="minorEastAsia" w:eastAsiaTheme="minorEastAsia" w:cstheme="minorEastAsia"/>
                <w:sz w:val="20"/>
              </w:rPr>
              <w:t>5.每年对负责保养的电梯进行一次全面检修并提交使用状况检查报告，为确保电梯安全运行，必须遵守国家颁布的TSG特种设备安全技术规范TSGT7001-2023《电梯监督检验和定期检验规则》的相关规定。</w:t>
            </w:r>
          </w:p>
        </w:tc>
        <w:tc>
          <w:tcPr>
            <w:tcW w:w="6236" w:type="dxa"/>
            <w:vAlign w:val="center"/>
          </w:tcPr>
          <w:p w14:paraId="69352BCA">
            <w:pPr>
              <w:jc w:val="center"/>
              <w:rPr>
                <w:rFonts w:ascii="楷体" w:hAnsi="楷体" w:eastAsia="楷体"/>
                <w:sz w:val="18"/>
                <w:szCs w:val="18"/>
              </w:rPr>
            </w:pPr>
          </w:p>
        </w:tc>
        <w:tc>
          <w:tcPr>
            <w:tcW w:w="690" w:type="dxa"/>
            <w:vAlign w:val="center"/>
          </w:tcPr>
          <w:p w14:paraId="2F0F0A83">
            <w:pPr>
              <w:jc w:val="center"/>
              <w:rPr>
                <w:rFonts w:ascii="楷体" w:hAnsi="楷体" w:eastAsia="楷体"/>
                <w:sz w:val="18"/>
                <w:szCs w:val="18"/>
              </w:rPr>
            </w:pPr>
          </w:p>
        </w:tc>
        <w:tc>
          <w:tcPr>
            <w:tcW w:w="510" w:type="dxa"/>
            <w:vAlign w:val="center"/>
          </w:tcPr>
          <w:p w14:paraId="04234A56">
            <w:pPr>
              <w:jc w:val="center"/>
              <w:rPr>
                <w:rFonts w:ascii="楷体" w:hAnsi="楷体" w:eastAsia="楷体"/>
                <w:sz w:val="18"/>
                <w:szCs w:val="18"/>
              </w:rPr>
            </w:pPr>
          </w:p>
        </w:tc>
      </w:tr>
      <w:tr w14:paraId="1316A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62EEA85B">
            <w:pPr>
              <w:jc w:val="center"/>
              <w:rPr>
                <w:rFonts w:ascii="楷体" w:hAnsi="楷体" w:eastAsia="楷体"/>
                <w:sz w:val="18"/>
                <w:szCs w:val="18"/>
              </w:rPr>
            </w:pPr>
            <w:r>
              <w:rPr>
                <w:rFonts w:hint="eastAsia" w:ascii="楷体" w:hAnsi="楷体" w:eastAsia="楷体"/>
                <w:sz w:val="18"/>
                <w:szCs w:val="18"/>
              </w:rPr>
              <w:t>12</w:t>
            </w:r>
          </w:p>
        </w:tc>
        <w:tc>
          <w:tcPr>
            <w:tcW w:w="1074" w:type="dxa"/>
            <w:vMerge w:val="continue"/>
            <w:vAlign w:val="center"/>
          </w:tcPr>
          <w:p w14:paraId="416E27FE">
            <w:pPr>
              <w:pStyle w:val="41"/>
              <w:jc w:val="center"/>
              <w:rPr>
                <w:rFonts w:hint="default" w:ascii="楷体" w:hAnsi="楷体" w:eastAsia="楷体"/>
                <w:sz w:val="18"/>
                <w:szCs w:val="18"/>
              </w:rPr>
            </w:pPr>
          </w:p>
        </w:tc>
        <w:tc>
          <w:tcPr>
            <w:tcW w:w="6236" w:type="dxa"/>
          </w:tcPr>
          <w:p w14:paraId="25ED6A7D">
            <w:pPr>
              <w:spacing w:line="300" w:lineRule="exact"/>
              <w:ind w:firstLine="400" w:firstLineChars="200"/>
              <w:rPr>
                <w:rFonts w:ascii="楷体" w:hAnsi="楷体" w:eastAsia="楷体"/>
                <w:sz w:val="18"/>
                <w:szCs w:val="18"/>
              </w:rPr>
            </w:pPr>
            <w:r>
              <w:rPr>
                <w:rFonts w:hint="eastAsia" w:asciiTheme="minorEastAsia" w:hAnsiTheme="minorEastAsia" w:eastAsiaTheme="minorEastAsia" w:cstheme="minorEastAsia"/>
                <w:sz w:val="20"/>
              </w:rPr>
              <w:t>6.在电梯维修、保养工作期间，中标供应商须放置规范的围蔽标牌提示或张贴温馨提示告知。</w:t>
            </w:r>
          </w:p>
        </w:tc>
        <w:tc>
          <w:tcPr>
            <w:tcW w:w="6236" w:type="dxa"/>
            <w:vAlign w:val="center"/>
          </w:tcPr>
          <w:p w14:paraId="2D4BA794">
            <w:pPr>
              <w:jc w:val="center"/>
              <w:rPr>
                <w:rFonts w:ascii="楷体" w:hAnsi="楷体" w:eastAsia="楷体"/>
                <w:sz w:val="18"/>
                <w:szCs w:val="18"/>
              </w:rPr>
            </w:pPr>
          </w:p>
        </w:tc>
        <w:tc>
          <w:tcPr>
            <w:tcW w:w="690" w:type="dxa"/>
            <w:vAlign w:val="center"/>
          </w:tcPr>
          <w:p w14:paraId="75D13D10">
            <w:pPr>
              <w:jc w:val="center"/>
              <w:rPr>
                <w:rFonts w:ascii="楷体" w:hAnsi="楷体" w:eastAsia="楷体"/>
                <w:sz w:val="18"/>
                <w:szCs w:val="18"/>
              </w:rPr>
            </w:pPr>
          </w:p>
        </w:tc>
        <w:tc>
          <w:tcPr>
            <w:tcW w:w="510" w:type="dxa"/>
            <w:vAlign w:val="center"/>
          </w:tcPr>
          <w:p w14:paraId="72973963">
            <w:pPr>
              <w:jc w:val="center"/>
              <w:rPr>
                <w:rFonts w:ascii="楷体" w:hAnsi="楷体" w:eastAsia="楷体"/>
                <w:sz w:val="18"/>
                <w:szCs w:val="18"/>
              </w:rPr>
            </w:pPr>
          </w:p>
        </w:tc>
      </w:tr>
      <w:tr w14:paraId="745CE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10F14F3C">
            <w:pPr>
              <w:jc w:val="center"/>
              <w:rPr>
                <w:rFonts w:ascii="楷体" w:hAnsi="楷体" w:eastAsia="楷体"/>
                <w:sz w:val="18"/>
                <w:szCs w:val="18"/>
              </w:rPr>
            </w:pPr>
            <w:r>
              <w:rPr>
                <w:rFonts w:hint="eastAsia" w:ascii="楷体" w:hAnsi="楷体" w:eastAsia="楷体"/>
                <w:sz w:val="18"/>
                <w:szCs w:val="18"/>
              </w:rPr>
              <w:t>13</w:t>
            </w:r>
          </w:p>
        </w:tc>
        <w:tc>
          <w:tcPr>
            <w:tcW w:w="1074" w:type="dxa"/>
            <w:vMerge w:val="continue"/>
            <w:vAlign w:val="center"/>
          </w:tcPr>
          <w:p w14:paraId="468044AA">
            <w:pPr>
              <w:pStyle w:val="41"/>
              <w:jc w:val="center"/>
              <w:rPr>
                <w:rFonts w:hint="default" w:ascii="楷体" w:hAnsi="楷体" w:eastAsia="楷体"/>
                <w:sz w:val="18"/>
                <w:szCs w:val="18"/>
              </w:rPr>
            </w:pPr>
          </w:p>
        </w:tc>
        <w:tc>
          <w:tcPr>
            <w:tcW w:w="6236" w:type="dxa"/>
          </w:tcPr>
          <w:p w14:paraId="41A24425">
            <w:pPr>
              <w:spacing w:line="300" w:lineRule="exact"/>
              <w:ind w:firstLine="400" w:firstLineChars="200"/>
              <w:rPr>
                <w:rFonts w:ascii="楷体" w:hAnsi="楷体" w:eastAsia="楷体"/>
                <w:sz w:val="18"/>
                <w:szCs w:val="18"/>
              </w:rPr>
            </w:pPr>
            <w:r>
              <w:rPr>
                <w:rFonts w:hint="eastAsia" w:asciiTheme="minorEastAsia" w:hAnsiTheme="minorEastAsia" w:eastAsiaTheme="minorEastAsia" w:cstheme="minorEastAsia"/>
                <w:sz w:val="20"/>
              </w:rPr>
              <w:t>7.服务期内，因中标供应商违规操作、保养缺失、配件质量问题导致电梯损坏或事故，中标供应商需承担全部维修费用及采购人直接经济损失（包括但不限于维修费、误工费、第三方检测费），并按《特种设备安全法》相关条款承担法律责任。</w:t>
            </w:r>
          </w:p>
        </w:tc>
        <w:tc>
          <w:tcPr>
            <w:tcW w:w="6236" w:type="dxa"/>
            <w:vAlign w:val="center"/>
          </w:tcPr>
          <w:p w14:paraId="1983D755">
            <w:pPr>
              <w:jc w:val="center"/>
              <w:rPr>
                <w:rFonts w:ascii="楷体" w:hAnsi="楷体" w:eastAsia="楷体"/>
                <w:sz w:val="18"/>
                <w:szCs w:val="18"/>
              </w:rPr>
            </w:pPr>
          </w:p>
        </w:tc>
        <w:tc>
          <w:tcPr>
            <w:tcW w:w="690" w:type="dxa"/>
            <w:vAlign w:val="center"/>
          </w:tcPr>
          <w:p w14:paraId="17C78BA0">
            <w:pPr>
              <w:jc w:val="center"/>
              <w:rPr>
                <w:rFonts w:ascii="楷体" w:hAnsi="楷体" w:eastAsia="楷体"/>
                <w:sz w:val="18"/>
                <w:szCs w:val="18"/>
              </w:rPr>
            </w:pPr>
          </w:p>
        </w:tc>
        <w:tc>
          <w:tcPr>
            <w:tcW w:w="510" w:type="dxa"/>
            <w:vAlign w:val="center"/>
          </w:tcPr>
          <w:p w14:paraId="125C6F87">
            <w:pPr>
              <w:jc w:val="center"/>
              <w:rPr>
                <w:rFonts w:ascii="楷体" w:hAnsi="楷体" w:eastAsia="楷体"/>
                <w:sz w:val="18"/>
                <w:szCs w:val="18"/>
              </w:rPr>
            </w:pPr>
          </w:p>
        </w:tc>
      </w:tr>
      <w:tr w14:paraId="4E96A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559CDA29">
            <w:pPr>
              <w:jc w:val="center"/>
              <w:rPr>
                <w:rFonts w:ascii="楷体" w:hAnsi="楷体" w:eastAsia="楷体"/>
                <w:sz w:val="18"/>
                <w:szCs w:val="18"/>
              </w:rPr>
            </w:pPr>
            <w:r>
              <w:rPr>
                <w:rFonts w:hint="eastAsia" w:ascii="楷体" w:hAnsi="楷体" w:eastAsia="楷体"/>
                <w:sz w:val="18"/>
                <w:szCs w:val="18"/>
              </w:rPr>
              <w:t>14</w:t>
            </w:r>
          </w:p>
        </w:tc>
        <w:tc>
          <w:tcPr>
            <w:tcW w:w="1074" w:type="dxa"/>
            <w:vMerge w:val="continue"/>
            <w:vAlign w:val="center"/>
          </w:tcPr>
          <w:p w14:paraId="3FCD0B6E">
            <w:pPr>
              <w:pStyle w:val="41"/>
              <w:jc w:val="center"/>
              <w:rPr>
                <w:rFonts w:hint="default" w:ascii="楷体" w:hAnsi="楷体" w:eastAsia="楷体"/>
                <w:sz w:val="18"/>
                <w:szCs w:val="18"/>
              </w:rPr>
            </w:pPr>
          </w:p>
        </w:tc>
        <w:tc>
          <w:tcPr>
            <w:tcW w:w="6236" w:type="dxa"/>
          </w:tcPr>
          <w:p w14:paraId="0441FC76">
            <w:pPr>
              <w:spacing w:line="300" w:lineRule="exact"/>
              <w:ind w:firstLine="400" w:firstLineChars="200"/>
              <w:rPr>
                <w:rFonts w:ascii="楷体" w:hAnsi="楷体" w:eastAsia="楷体"/>
                <w:sz w:val="18"/>
                <w:szCs w:val="18"/>
              </w:rPr>
            </w:pPr>
            <w:r>
              <w:rPr>
                <w:rFonts w:hint="eastAsia" w:asciiTheme="minorEastAsia" w:hAnsiTheme="minorEastAsia" w:eastAsiaTheme="minorEastAsia" w:cstheme="minorEastAsia"/>
                <w:sz w:val="20"/>
              </w:rPr>
              <w:t>8.服务期内，电梯出现紧急状况或采购人提出特殊紧急的维护、保养、检查要求时，中标供应商须立即作出响应和采取相应措施，确保电梯的正常运行。</w:t>
            </w:r>
          </w:p>
        </w:tc>
        <w:tc>
          <w:tcPr>
            <w:tcW w:w="6236" w:type="dxa"/>
            <w:vAlign w:val="center"/>
          </w:tcPr>
          <w:p w14:paraId="506737E0">
            <w:pPr>
              <w:jc w:val="center"/>
              <w:rPr>
                <w:rFonts w:ascii="楷体" w:hAnsi="楷体" w:eastAsia="楷体"/>
                <w:sz w:val="18"/>
                <w:szCs w:val="18"/>
              </w:rPr>
            </w:pPr>
          </w:p>
        </w:tc>
        <w:tc>
          <w:tcPr>
            <w:tcW w:w="690" w:type="dxa"/>
            <w:vAlign w:val="center"/>
          </w:tcPr>
          <w:p w14:paraId="2A73ECD3">
            <w:pPr>
              <w:jc w:val="center"/>
              <w:rPr>
                <w:rFonts w:ascii="楷体" w:hAnsi="楷体" w:eastAsia="楷体"/>
                <w:sz w:val="18"/>
                <w:szCs w:val="18"/>
              </w:rPr>
            </w:pPr>
          </w:p>
        </w:tc>
        <w:tc>
          <w:tcPr>
            <w:tcW w:w="510" w:type="dxa"/>
            <w:vAlign w:val="center"/>
          </w:tcPr>
          <w:p w14:paraId="59AF3B79">
            <w:pPr>
              <w:jc w:val="center"/>
              <w:rPr>
                <w:rFonts w:ascii="楷体" w:hAnsi="楷体" w:eastAsia="楷体"/>
                <w:sz w:val="18"/>
                <w:szCs w:val="18"/>
              </w:rPr>
            </w:pPr>
          </w:p>
        </w:tc>
      </w:tr>
      <w:tr w14:paraId="283F2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311A97F1">
            <w:pPr>
              <w:jc w:val="center"/>
              <w:rPr>
                <w:rFonts w:ascii="楷体" w:hAnsi="楷体" w:eastAsia="楷体"/>
                <w:sz w:val="18"/>
                <w:szCs w:val="18"/>
              </w:rPr>
            </w:pPr>
            <w:r>
              <w:rPr>
                <w:rFonts w:hint="eastAsia" w:ascii="楷体" w:hAnsi="楷体" w:eastAsia="楷体"/>
                <w:sz w:val="18"/>
                <w:szCs w:val="18"/>
              </w:rPr>
              <w:t>15</w:t>
            </w:r>
          </w:p>
        </w:tc>
        <w:tc>
          <w:tcPr>
            <w:tcW w:w="1074" w:type="dxa"/>
            <w:vMerge w:val="continue"/>
            <w:vAlign w:val="center"/>
          </w:tcPr>
          <w:p w14:paraId="5A66A02A">
            <w:pPr>
              <w:pStyle w:val="41"/>
              <w:jc w:val="center"/>
              <w:rPr>
                <w:rFonts w:hint="default" w:ascii="楷体" w:hAnsi="楷体" w:eastAsia="楷体"/>
                <w:sz w:val="18"/>
                <w:szCs w:val="18"/>
              </w:rPr>
            </w:pPr>
          </w:p>
        </w:tc>
        <w:tc>
          <w:tcPr>
            <w:tcW w:w="6236" w:type="dxa"/>
            <w:vAlign w:val="top"/>
          </w:tcPr>
          <w:p w14:paraId="48D3B8AA">
            <w:pPr>
              <w:spacing w:line="300" w:lineRule="exact"/>
              <w:ind w:firstLine="400" w:firstLineChars="200"/>
              <w:rPr>
                <w:rFonts w:ascii="楷体" w:hAnsi="楷体" w:eastAsia="楷体"/>
                <w:sz w:val="18"/>
                <w:szCs w:val="18"/>
              </w:rPr>
            </w:pPr>
            <w:r>
              <w:rPr>
                <w:rFonts w:hint="eastAsia" w:asciiTheme="minorEastAsia" w:hAnsiTheme="minorEastAsia" w:eastAsiaTheme="minorEastAsia" w:cstheme="minorEastAsia"/>
                <w:sz w:val="20"/>
                <w:lang w:val="en-US" w:eastAsia="zh-CN"/>
              </w:rPr>
              <w:t>9</w:t>
            </w:r>
            <w:r>
              <w:rPr>
                <w:rFonts w:hint="eastAsia" w:asciiTheme="minorEastAsia" w:hAnsiTheme="minorEastAsia" w:eastAsiaTheme="minorEastAsia" w:cstheme="minorEastAsia"/>
                <w:sz w:val="20"/>
              </w:rPr>
              <w:t>.在服务期内采购人有权要求中标供应商对采购人新增或新启用电梯提供维修、维护及保养服务，其服务按本次招标要求，服务费用按本次中标的每台电梯平均月单价计算；服务期内如遇电梯长期（一个月或以上）停运或拆除，则按电梯维保月单价核减相应维保费用。</w:t>
            </w:r>
          </w:p>
        </w:tc>
        <w:tc>
          <w:tcPr>
            <w:tcW w:w="6236" w:type="dxa"/>
            <w:vAlign w:val="center"/>
          </w:tcPr>
          <w:p w14:paraId="1E47F672">
            <w:pPr>
              <w:jc w:val="center"/>
              <w:rPr>
                <w:rFonts w:ascii="楷体" w:hAnsi="楷体" w:eastAsia="楷体"/>
                <w:sz w:val="18"/>
                <w:szCs w:val="18"/>
              </w:rPr>
            </w:pPr>
          </w:p>
        </w:tc>
        <w:tc>
          <w:tcPr>
            <w:tcW w:w="690" w:type="dxa"/>
            <w:vAlign w:val="center"/>
          </w:tcPr>
          <w:p w14:paraId="2E632A01">
            <w:pPr>
              <w:jc w:val="center"/>
              <w:rPr>
                <w:rFonts w:ascii="楷体" w:hAnsi="楷体" w:eastAsia="楷体"/>
                <w:sz w:val="18"/>
                <w:szCs w:val="18"/>
              </w:rPr>
            </w:pPr>
          </w:p>
        </w:tc>
        <w:tc>
          <w:tcPr>
            <w:tcW w:w="510" w:type="dxa"/>
            <w:vAlign w:val="center"/>
          </w:tcPr>
          <w:p w14:paraId="35C7B622">
            <w:pPr>
              <w:jc w:val="center"/>
              <w:rPr>
                <w:rFonts w:ascii="楷体" w:hAnsi="楷体" w:eastAsia="楷体"/>
                <w:sz w:val="18"/>
                <w:szCs w:val="18"/>
              </w:rPr>
            </w:pPr>
          </w:p>
        </w:tc>
      </w:tr>
      <w:tr w14:paraId="2FF1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5093A125">
            <w:pPr>
              <w:jc w:val="center"/>
              <w:rPr>
                <w:rFonts w:ascii="楷体" w:hAnsi="楷体" w:eastAsia="楷体"/>
                <w:sz w:val="18"/>
                <w:szCs w:val="18"/>
              </w:rPr>
            </w:pPr>
            <w:r>
              <w:rPr>
                <w:rFonts w:hint="eastAsia" w:ascii="楷体" w:hAnsi="楷体" w:eastAsia="楷体"/>
                <w:sz w:val="18"/>
                <w:szCs w:val="18"/>
              </w:rPr>
              <w:t>16</w:t>
            </w:r>
          </w:p>
        </w:tc>
        <w:tc>
          <w:tcPr>
            <w:tcW w:w="1074" w:type="dxa"/>
            <w:vMerge w:val="continue"/>
            <w:vAlign w:val="center"/>
          </w:tcPr>
          <w:p w14:paraId="64CC250A">
            <w:pPr>
              <w:pStyle w:val="41"/>
              <w:jc w:val="center"/>
              <w:rPr>
                <w:rFonts w:hint="default" w:ascii="楷体" w:hAnsi="楷体" w:eastAsia="楷体"/>
                <w:sz w:val="18"/>
                <w:szCs w:val="18"/>
              </w:rPr>
            </w:pPr>
          </w:p>
        </w:tc>
        <w:tc>
          <w:tcPr>
            <w:tcW w:w="6236" w:type="dxa"/>
            <w:vAlign w:val="top"/>
          </w:tcPr>
          <w:p w14:paraId="3F92FB12">
            <w:pPr>
              <w:spacing w:line="300" w:lineRule="exact"/>
              <w:ind w:firstLine="400" w:firstLineChars="200"/>
              <w:rPr>
                <w:rFonts w:ascii="楷体" w:hAnsi="楷体" w:eastAsia="楷体"/>
                <w:sz w:val="18"/>
                <w:szCs w:val="18"/>
              </w:rPr>
            </w:pPr>
            <w:r>
              <w:rPr>
                <w:rFonts w:hint="eastAsia" w:asciiTheme="minorEastAsia" w:hAnsiTheme="minorEastAsia" w:eastAsiaTheme="minorEastAsia" w:cstheme="minorEastAsia"/>
                <w:sz w:val="20"/>
              </w:rPr>
              <w:t>1</w:t>
            </w:r>
            <w:r>
              <w:rPr>
                <w:rFonts w:hint="eastAsia" w:asciiTheme="minorEastAsia" w:hAnsiTheme="minorEastAsia" w:eastAsiaTheme="minorEastAsia" w:cstheme="minorEastAsia"/>
                <w:sz w:val="20"/>
                <w:lang w:val="en-US" w:eastAsia="zh-CN"/>
              </w:rPr>
              <w:t>0</w:t>
            </w:r>
            <w:r>
              <w:rPr>
                <w:rFonts w:hint="eastAsia" w:asciiTheme="minorEastAsia" w:hAnsiTheme="minorEastAsia" w:eastAsiaTheme="minorEastAsia" w:cstheme="minorEastAsia"/>
                <w:sz w:val="20"/>
              </w:rPr>
              <w:t>.中标供应商自觉接受采购人的监督与管理，配合采购人对电梯的日常检查，对存在的问题需按电梯管理规范和采购人的要求进行整改，对于合理的要求，不得以任何理由拒绝或拖延。</w:t>
            </w:r>
          </w:p>
        </w:tc>
        <w:tc>
          <w:tcPr>
            <w:tcW w:w="6236" w:type="dxa"/>
            <w:vAlign w:val="center"/>
          </w:tcPr>
          <w:p w14:paraId="2BC7CD18">
            <w:pPr>
              <w:jc w:val="center"/>
              <w:rPr>
                <w:rFonts w:ascii="楷体" w:hAnsi="楷体" w:eastAsia="楷体"/>
                <w:sz w:val="18"/>
                <w:szCs w:val="18"/>
              </w:rPr>
            </w:pPr>
          </w:p>
        </w:tc>
        <w:tc>
          <w:tcPr>
            <w:tcW w:w="690" w:type="dxa"/>
            <w:vAlign w:val="center"/>
          </w:tcPr>
          <w:p w14:paraId="6BB713BC">
            <w:pPr>
              <w:jc w:val="center"/>
              <w:rPr>
                <w:rFonts w:ascii="楷体" w:hAnsi="楷体" w:eastAsia="楷体"/>
                <w:sz w:val="18"/>
                <w:szCs w:val="18"/>
              </w:rPr>
            </w:pPr>
          </w:p>
        </w:tc>
        <w:tc>
          <w:tcPr>
            <w:tcW w:w="510" w:type="dxa"/>
            <w:vAlign w:val="center"/>
          </w:tcPr>
          <w:p w14:paraId="090F82C8">
            <w:pPr>
              <w:jc w:val="center"/>
              <w:rPr>
                <w:rFonts w:ascii="楷体" w:hAnsi="楷体" w:eastAsia="楷体"/>
                <w:sz w:val="18"/>
                <w:szCs w:val="18"/>
              </w:rPr>
            </w:pPr>
          </w:p>
        </w:tc>
      </w:tr>
      <w:tr w14:paraId="65A9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38287CB0">
            <w:pPr>
              <w:jc w:val="center"/>
              <w:rPr>
                <w:rFonts w:ascii="楷体" w:hAnsi="楷体" w:eastAsia="楷体"/>
                <w:sz w:val="18"/>
                <w:szCs w:val="18"/>
              </w:rPr>
            </w:pPr>
            <w:r>
              <w:rPr>
                <w:rFonts w:hint="eastAsia" w:ascii="楷体" w:hAnsi="楷体" w:eastAsia="楷体"/>
                <w:sz w:val="18"/>
                <w:szCs w:val="18"/>
              </w:rPr>
              <w:t>17</w:t>
            </w:r>
          </w:p>
        </w:tc>
        <w:tc>
          <w:tcPr>
            <w:tcW w:w="1074" w:type="dxa"/>
            <w:vMerge w:val="continue"/>
            <w:vAlign w:val="center"/>
          </w:tcPr>
          <w:p w14:paraId="43911095">
            <w:pPr>
              <w:pStyle w:val="41"/>
              <w:jc w:val="center"/>
              <w:rPr>
                <w:rFonts w:hint="default" w:ascii="楷体" w:hAnsi="楷体" w:eastAsia="楷体"/>
                <w:sz w:val="18"/>
                <w:szCs w:val="18"/>
              </w:rPr>
            </w:pPr>
          </w:p>
        </w:tc>
        <w:tc>
          <w:tcPr>
            <w:tcW w:w="6236" w:type="dxa"/>
            <w:vAlign w:val="top"/>
          </w:tcPr>
          <w:p w14:paraId="6514B664">
            <w:pPr>
              <w:spacing w:line="300" w:lineRule="exact"/>
              <w:ind w:firstLine="400" w:firstLineChars="200"/>
              <w:rPr>
                <w:rFonts w:ascii="楷体" w:hAnsi="楷体" w:eastAsia="楷体"/>
                <w:sz w:val="18"/>
                <w:szCs w:val="18"/>
              </w:rPr>
            </w:pPr>
            <w:r>
              <w:rPr>
                <w:rFonts w:hint="eastAsia" w:asciiTheme="minorEastAsia" w:hAnsiTheme="minorEastAsia" w:eastAsiaTheme="minorEastAsia" w:cstheme="minorEastAsia"/>
                <w:sz w:val="20"/>
              </w:rPr>
              <w:t>1</w:t>
            </w:r>
            <w:r>
              <w:rPr>
                <w:rFonts w:hint="eastAsia" w:asciiTheme="minorEastAsia" w:hAnsiTheme="minorEastAsia" w:eastAsiaTheme="minorEastAsia" w:cstheme="minorEastAsia"/>
                <w:sz w:val="20"/>
                <w:lang w:val="en-US" w:eastAsia="zh-CN"/>
              </w:rPr>
              <w:t>1</w:t>
            </w:r>
            <w:r>
              <w:rPr>
                <w:rFonts w:hint="eastAsia" w:asciiTheme="minorEastAsia" w:hAnsiTheme="minorEastAsia" w:eastAsiaTheme="minorEastAsia" w:cstheme="minorEastAsia"/>
                <w:sz w:val="20"/>
              </w:rPr>
              <w:t>.中标供应商定期对电梯申报检测，办理年审，并确保电梯年检通过。同时为每台维保电梯购买广东省电梯责任保险保险费由中标供应商支付（保险费100元/台/年，每次事故及累计保额≥1000万元）。</w:t>
            </w:r>
          </w:p>
        </w:tc>
        <w:tc>
          <w:tcPr>
            <w:tcW w:w="6236" w:type="dxa"/>
            <w:vAlign w:val="center"/>
          </w:tcPr>
          <w:p w14:paraId="53D33E2D">
            <w:pPr>
              <w:jc w:val="center"/>
              <w:rPr>
                <w:rFonts w:ascii="楷体" w:hAnsi="楷体" w:eastAsia="楷体"/>
                <w:sz w:val="18"/>
                <w:szCs w:val="18"/>
              </w:rPr>
            </w:pPr>
          </w:p>
        </w:tc>
        <w:tc>
          <w:tcPr>
            <w:tcW w:w="690" w:type="dxa"/>
            <w:vAlign w:val="center"/>
          </w:tcPr>
          <w:p w14:paraId="5609DA8A">
            <w:pPr>
              <w:jc w:val="center"/>
              <w:rPr>
                <w:rFonts w:ascii="楷体" w:hAnsi="楷体" w:eastAsia="楷体"/>
                <w:sz w:val="18"/>
                <w:szCs w:val="18"/>
              </w:rPr>
            </w:pPr>
          </w:p>
        </w:tc>
        <w:tc>
          <w:tcPr>
            <w:tcW w:w="510" w:type="dxa"/>
            <w:vAlign w:val="center"/>
          </w:tcPr>
          <w:p w14:paraId="2BC37C69">
            <w:pPr>
              <w:jc w:val="center"/>
              <w:rPr>
                <w:rFonts w:ascii="楷体" w:hAnsi="楷体" w:eastAsia="楷体"/>
                <w:sz w:val="18"/>
                <w:szCs w:val="18"/>
              </w:rPr>
            </w:pPr>
          </w:p>
        </w:tc>
      </w:tr>
      <w:tr w14:paraId="4FBE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09463B32">
            <w:pPr>
              <w:jc w:val="center"/>
              <w:rPr>
                <w:rFonts w:ascii="楷体" w:hAnsi="楷体" w:eastAsia="楷体"/>
                <w:sz w:val="18"/>
                <w:szCs w:val="18"/>
              </w:rPr>
            </w:pPr>
            <w:r>
              <w:rPr>
                <w:rFonts w:hint="eastAsia" w:ascii="楷体" w:hAnsi="楷体" w:eastAsia="楷体"/>
                <w:sz w:val="18"/>
                <w:szCs w:val="18"/>
              </w:rPr>
              <w:t>18</w:t>
            </w:r>
          </w:p>
        </w:tc>
        <w:tc>
          <w:tcPr>
            <w:tcW w:w="1074" w:type="dxa"/>
            <w:vMerge w:val="continue"/>
            <w:vAlign w:val="center"/>
          </w:tcPr>
          <w:p w14:paraId="3B9366C0">
            <w:pPr>
              <w:pStyle w:val="41"/>
              <w:jc w:val="center"/>
              <w:rPr>
                <w:rFonts w:hint="default" w:ascii="楷体" w:hAnsi="楷体" w:eastAsia="楷体"/>
                <w:sz w:val="18"/>
                <w:szCs w:val="18"/>
              </w:rPr>
            </w:pPr>
          </w:p>
        </w:tc>
        <w:tc>
          <w:tcPr>
            <w:tcW w:w="6236" w:type="dxa"/>
            <w:vAlign w:val="top"/>
          </w:tcPr>
          <w:p w14:paraId="116E39BC">
            <w:pPr>
              <w:spacing w:line="300" w:lineRule="exact"/>
              <w:ind w:firstLine="400" w:firstLineChars="200"/>
              <w:rPr>
                <w:rFonts w:ascii="楷体" w:hAnsi="楷体" w:eastAsia="楷体"/>
                <w:sz w:val="18"/>
                <w:szCs w:val="18"/>
              </w:rPr>
            </w:pPr>
            <w:r>
              <w:rPr>
                <w:rFonts w:hint="eastAsia" w:asciiTheme="minorEastAsia" w:hAnsiTheme="minorEastAsia" w:eastAsiaTheme="minorEastAsia" w:cstheme="minorEastAsia"/>
                <w:sz w:val="20"/>
              </w:rPr>
              <w:t>1</w:t>
            </w:r>
            <w:r>
              <w:rPr>
                <w:rFonts w:hint="eastAsia" w:asciiTheme="minorEastAsia" w:hAnsiTheme="minorEastAsia" w:eastAsiaTheme="minorEastAsia" w:cstheme="minorEastAsia"/>
                <w:sz w:val="20"/>
                <w:lang w:val="en-US" w:eastAsia="zh-CN"/>
              </w:rPr>
              <w:t>2</w:t>
            </w:r>
            <w:r>
              <w:rPr>
                <w:rFonts w:hint="eastAsia" w:asciiTheme="minorEastAsia" w:hAnsiTheme="minorEastAsia" w:eastAsiaTheme="minorEastAsia" w:cstheme="minorEastAsia"/>
                <w:sz w:val="20"/>
              </w:rPr>
              <w:t>.服务期内，因中标供应商未按标准保养、未及时处理故障、人员资质不符等“维保不到位”情形，导致安全事故或采购人经济损失的，中标供应商需承担全部法律责任及经济赔偿（包括直接损失和经鉴定的间接损失）。</w:t>
            </w:r>
          </w:p>
        </w:tc>
        <w:tc>
          <w:tcPr>
            <w:tcW w:w="6236" w:type="dxa"/>
            <w:vAlign w:val="center"/>
          </w:tcPr>
          <w:p w14:paraId="49C34FD5">
            <w:pPr>
              <w:jc w:val="center"/>
              <w:rPr>
                <w:rFonts w:ascii="楷体" w:hAnsi="楷体" w:eastAsia="楷体"/>
                <w:sz w:val="18"/>
                <w:szCs w:val="18"/>
              </w:rPr>
            </w:pPr>
          </w:p>
        </w:tc>
        <w:tc>
          <w:tcPr>
            <w:tcW w:w="690" w:type="dxa"/>
            <w:vAlign w:val="center"/>
          </w:tcPr>
          <w:p w14:paraId="51861A34">
            <w:pPr>
              <w:jc w:val="center"/>
              <w:rPr>
                <w:rFonts w:ascii="楷体" w:hAnsi="楷体" w:eastAsia="楷体"/>
                <w:sz w:val="18"/>
                <w:szCs w:val="18"/>
              </w:rPr>
            </w:pPr>
          </w:p>
        </w:tc>
        <w:tc>
          <w:tcPr>
            <w:tcW w:w="510" w:type="dxa"/>
            <w:vAlign w:val="center"/>
          </w:tcPr>
          <w:p w14:paraId="0E8DFFB7">
            <w:pPr>
              <w:jc w:val="center"/>
              <w:rPr>
                <w:rFonts w:ascii="楷体" w:hAnsi="楷体" w:eastAsia="楷体"/>
                <w:sz w:val="18"/>
                <w:szCs w:val="18"/>
              </w:rPr>
            </w:pPr>
          </w:p>
        </w:tc>
      </w:tr>
      <w:tr w14:paraId="2E74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6CE14028">
            <w:pPr>
              <w:jc w:val="center"/>
              <w:rPr>
                <w:rFonts w:ascii="楷体" w:hAnsi="楷体" w:eastAsia="楷体"/>
                <w:sz w:val="18"/>
                <w:szCs w:val="18"/>
              </w:rPr>
            </w:pPr>
            <w:r>
              <w:rPr>
                <w:rFonts w:hint="eastAsia" w:ascii="楷体" w:hAnsi="楷体" w:eastAsia="楷体"/>
                <w:sz w:val="18"/>
                <w:szCs w:val="18"/>
                <w:lang w:val="en-US" w:eastAsia="zh-CN"/>
              </w:rPr>
              <w:t>19</w:t>
            </w:r>
          </w:p>
        </w:tc>
        <w:tc>
          <w:tcPr>
            <w:tcW w:w="1074" w:type="dxa"/>
            <w:vMerge w:val="restart"/>
            <w:vAlign w:val="center"/>
          </w:tcPr>
          <w:p w14:paraId="2E08A3C1">
            <w:pPr>
              <w:pStyle w:val="41"/>
              <w:jc w:val="center"/>
              <w:rPr>
                <w:rFonts w:hint="default" w:ascii="楷体" w:hAnsi="楷体" w:eastAsia="楷体"/>
                <w:sz w:val="18"/>
                <w:szCs w:val="18"/>
              </w:rPr>
            </w:pPr>
            <w:r>
              <w:rPr>
                <w:rFonts w:ascii="楷体" w:hAnsi="楷体" w:eastAsia="楷体"/>
                <w:sz w:val="18"/>
                <w:szCs w:val="18"/>
              </w:rPr>
              <w:t>电梯维护保养的相关规定和标准</w:t>
            </w:r>
          </w:p>
        </w:tc>
        <w:tc>
          <w:tcPr>
            <w:tcW w:w="6236" w:type="dxa"/>
          </w:tcPr>
          <w:p w14:paraId="5C132A18">
            <w:pPr>
              <w:spacing w:line="300" w:lineRule="exact"/>
              <w:ind w:firstLine="400" w:firstLineChars="200"/>
              <w:rPr>
                <w:rFonts w:ascii="楷体" w:hAnsi="楷体" w:eastAsia="楷体"/>
                <w:sz w:val="18"/>
                <w:szCs w:val="18"/>
              </w:rPr>
            </w:pPr>
            <w:r>
              <w:rPr>
                <w:rFonts w:hint="eastAsia" w:asciiTheme="minorEastAsia" w:hAnsiTheme="minorEastAsia" w:eastAsiaTheme="minorEastAsia" w:cstheme="minorEastAsia"/>
                <w:sz w:val="20"/>
              </w:rPr>
              <w:t>1.随时了解电梯运行情况，停梯维修保养时须挂警示牌。</w:t>
            </w:r>
          </w:p>
        </w:tc>
        <w:tc>
          <w:tcPr>
            <w:tcW w:w="6236" w:type="dxa"/>
            <w:vAlign w:val="center"/>
          </w:tcPr>
          <w:p w14:paraId="0CAC2673">
            <w:pPr>
              <w:jc w:val="center"/>
              <w:rPr>
                <w:rFonts w:ascii="楷体" w:hAnsi="楷体" w:eastAsia="楷体"/>
                <w:sz w:val="18"/>
                <w:szCs w:val="18"/>
              </w:rPr>
            </w:pPr>
          </w:p>
        </w:tc>
        <w:tc>
          <w:tcPr>
            <w:tcW w:w="690" w:type="dxa"/>
            <w:vAlign w:val="center"/>
          </w:tcPr>
          <w:p w14:paraId="3321A6C1">
            <w:pPr>
              <w:jc w:val="center"/>
              <w:rPr>
                <w:rFonts w:ascii="楷体" w:hAnsi="楷体" w:eastAsia="楷体"/>
                <w:sz w:val="18"/>
                <w:szCs w:val="18"/>
              </w:rPr>
            </w:pPr>
          </w:p>
        </w:tc>
        <w:tc>
          <w:tcPr>
            <w:tcW w:w="510" w:type="dxa"/>
            <w:vAlign w:val="center"/>
          </w:tcPr>
          <w:p w14:paraId="3DD5B26B">
            <w:pPr>
              <w:jc w:val="center"/>
              <w:rPr>
                <w:rFonts w:ascii="楷体" w:hAnsi="楷体" w:eastAsia="楷体"/>
                <w:sz w:val="18"/>
                <w:szCs w:val="18"/>
              </w:rPr>
            </w:pPr>
          </w:p>
        </w:tc>
      </w:tr>
      <w:tr w14:paraId="0C02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4FE7D06D">
            <w:pPr>
              <w:jc w:val="center"/>
              <w:rPr>
                <w:rFonts w:hint="eastAsia" w:ascii="楷体" w:hAnsi="楷体" w:eastAsia="楷体"/>
                <w:sz w:val="18"/>
                <w:szCs w:val="18"/>
                <w:lang w:eastAsia="zh-CN"/>
              </w:rPr>
            </w:pPr>
            <w:r>
              <w:rPr>
                <w:rFonts w:hint="eastAsia" w:ascii="楷体" w:hAnsi="楷体" w:eastAsia="楷体"/>
                <w:sz w:val="18"/>
                <w:szCs w:val="18"/>
              </w:rPr>
              <w:t>2</w:t>
            </w:r>
            <w:r>
              <w:rPr>
                <w:rFonts w:hint="eastAsia" w:ascii="楷体" w:hAnsi="楷体" w:eastAsia="楷体"/>
                <w:sz w:val="18"/>
                <w:szCs w:val="18"/>
                <w:lang w:val="en-US" w:eastAsia="zh-CN"/>
              </w:rPr>
              <w:t>0</w:t>
            </w:r>
          </w:p>
        </w:tc>
        <w:tc>
          <w:tcPr>
            <w:tcW w:w="1074" w:type="dxa"/>
            <w:vMerge w:val="continue"/>
            <w:vAlign w:val="center"/>
          </w:tcPr>
          <w:p w14:paraId="2E9B0744">
            <w:pPr>
              <w:pStyle w:val="41"/>
              <w:jc w:val="center"/>
              <w:rPr>
                <w:rFonts w:hint="default" w:ascii="楷体" w:hAnsi="楷体" w:eastAsia="楷体"/>
                <w:sz w:val="18"/>
                <w:szCs w:val="18"/>
              </w:rPr>
            </w:pPr>
          </w:p>
        </w:tc>
        <w:tc>
          <w:tcPr>
            <w:tcW w:w="6236" w:type="dxa"/>
          </w:tcPr>
          <w:p w14:paraId="0504E679">
            <w:pPr>
              <w:spacing w:line="300" w:lineRule="exact"/>
              <w:ind w:firstLine="400" w:firstLineChars="200"/>
              <w:rPr>
                <w:rFonts w:ascii="楷体" w:hAnsi="楷体" w:eastAsia="楷体"/>
                <w:sz w:val="18"/>
                <w:szCs w:val="18"/>
              </w:rPr>
            </w:pPr>
            <w:r>
              <w:rPr>
                <w:rFonts w:hint="eastAsia" w:asciiTheme="minorEastAsia" w:hAnsiTheme="minorEastAsia" w:eastAsiaTheme="minorEastAsia" w:cstheme="minorEastAsia"/>
                <w:sz w:val="20"/>
              </w:rPr>
              <w:t>2.优先处理电梯困人、电梯使用率高、活动会议保障需要等紧急情况。</w:t>
            </w:r>
          </w:p>
        </w:tc>
        <w:tc>
          <w:tcPr>
            <w:tcW w:w="6236" w:type="dxa"/>
            <w:vAlign w:val="center"/>
          </w:tcPr>
          <w:p w14:paraId="4C308797">
            <w:pPr>
              <w:jc w:val="center"/>
              <w:rPr>
                <w:rFonts w:ascii="楷体" w:hAnsi="楷体" w:eastAsia="楷体"/>
                <w:sz w:val="18"/>
                <w:szCs w:val="18"/>
              </w:rPr>
            </w:pPr>
          </w:p>
        </w:tc>
        <w:tc>
          <w:tcPr>
            <w:tcW w:w="690" w:type="dxa"/>
            <w:vAlign w:val="center"/>
          </w:tcPr>
          <w:p w14:paraId="710BC25F">
            <w:pPr>
              <w:jc w:val="center"/>
              <w:rPr>
                <w:rFonts w:ascii="楷体" w:hAnsi="楷体" w:eastAsia="楷体"/>
                <w:sz w:val="18"/>
                <w:szCs w:val="18"/>
              </w:rPr>
            </w:pPr>
          </w:p>
        </w:tc>
        <w:tc>
          <w:tcPr>
            <w:tcW w:w="510" w:type="dxa"/>
            <w:vAlign w:val="center"/>
          </w:tcPr>
          <w:p w14:paraId="7043EF30">
            <w:pPr>
              <w:jc w:val="center"/>
              <w:rPr>
                <w:rFonts w:ascii="楷体" w:hAnsi="楷体" w:eastAsia="楷体"/>
                <w:sz w:val="18"/>
                <w:szCs w:val="18"/>
              </w:rPr>
            </w:pPr>
          </w:p>
        </w:tc>
      </w:tr>
      <w:tr w14:paraId="543D7581">
        <w:tblPrEx>
          <w:tblCellMar>
            <w:top w:w="0" w:type="dxa"/>
            <w:left w:w="108" w:type="dxa"/>
            <w:bottom w:w="0" w:type="dxa"/>
            <w:right w:w="108" w:type="dxa"/>
          </w:tblCellMar>
        </w:tblPrEx>
        <w:tc>
          <w:tcPr>
            <w:tcW w:w="446" w:type="dxa"/>
            <w:vAlign w:val="center"/>
          </w:tcPr>
          <w:p w14:paraId="7EFEE9F3">
            <w:pPr>
              <w:jc w:val="center"/>
              <w:rPr>
                <w:rFonts w:hint="eastAsia" w:ascii="楷体" w:hAnsi="楷体" w:eastAsia="楷体"/>
                <w:sz w:val="18"/>
                <w:szCs w:val="18"/>
                <w:lang w:eastAsia="zh-CN"/>
              </w:rPr>
            </w:pPr>
            <w:r>
              <w:rPr>
                <w:rFonts w:hint="eastAsia" w:ascii="楷体" w:hAnsi="楷体" w:eastAsia="楷体"/>
                <w:sz w:val="18"/>
                <w:szCs w:val="18"/>
              </w:rPr>
              <w:t>2</w:t>
            </w:r>
            <w:r>
              <w:rPr>
                <w:rFonts w:hint="eastAsia" w:ascii="楷体" w:hAnsi="楷体" w:eastAsia="楷体"/>
                <w:sz w:val="18"/>
                <w:szCs w:val="18"/>
                <w:lang w:val="en-US" w:eastAsia="zh-CN"/>
              </w:rPr>
              <w:t>1</w:t>
            </w:r>
          </w:p>
        </w:tc>
        <w:tc>
          <w:tcPr>
            <w:tcW w:w="1074" w:type="dxa"/>
            <w:vMerge w:val="continue"/>
            <w:vAlign w:val="center"/>
          </w:tcPr>
          <w:p w14:paraId="0910D035">
            <w:pPr>
              <w:pStyle w:val="41"/>
              <w:jc w:val="center"/>
              <w:rPr>
                <w:rFonts w:hint="default" w:ascii="楷体" w:hAnsi="楷体" w:eastAsia="楷体"/>
                <w:sz w:val="18"/>
                <w:szCs w:val="18"/>
              </w:rPr>
            </w:pPr>
          </w:p>
        </w:tc>
        <w:tc>
          <w:tcPr>
            <w:tcW w:w="6236" w:type="dxa"/>
          </w:tcPr>
          <w:p w14:paraId="1DCAD21E">
            <w:pPr>
              <w:spacing w:line="300" w:lineRule="exact"/>
              <w:ind w:firstLine="400" w:firstLineChars="200"/>
              <w:rPr>
                <w:rFonts w:ascii="楷体" w:hAnsi="楷体" w:eastAsia="楷体"/>
                <w:sz w:val="18"/>
                <w:szCs w:val="18"/>
              </w:rPr>
            </w:pPr>
            <w:r>
              <w:rPr>
                <w:rFonts w:hint="eastAsia" w:asciiTheme="minorEastAsia" w:hAnsiTheme="minorEastAsia" w:eastAsiaTheme="minorEastAsia" w:cstheme="minorEastAsia"/>
                <w:sz w:val="20"/>
              </w:rPr>
              <w:t>3.对机房、井道、轿顶、底坑和厅门、轿门、召唤指层面板，要定期清理，保持清洁卫生。</w:t>
            </w:r>
          </w:p>
        </w:tc>
        <w:tc>
          <w:tcPr>
            <w:tcW w:w="6236" w:type="dxa"/>
            <w:vAlign w:val="center"/>
          </w:tcPr>
          <w:p w14:paraId="43A6C5F9">
            <w:pPr>
              <w:jc w:val="center"/>
              <w:rPr>
                <w:rFonts w:ascii="楷体" w:hAnsi="楷体" w:eastAsia="楷体"/>
                <w:sz w:val="18"/>
                <w:szCs w:val="18"/>
              </w:rPr>
            </w:pPr>
          </w:p>
        </w:tc>
        <w:tc>
          <w:tcPr>
            <w:tcW w:w="690" w:type="dxa"/>
            <w:vAlign w:val="center"/>
          </w:tcPr>
          <w:p w14:paraId="3E0F691F">
            <w:pPr>
              <w:jc w:val="center"/>
              <w:rPr>
                <w:rFonts w:ascii="楷体" w:hAnsi="楷体" w:eastAsia="楷体"/>
                <w:sz w:val="18"/>
                <w:szCs w:val="18"/>
              </w:rPr>
            </w:pPr>
          </w:p>
        </w:tc>
        <w:tc>
          <w:tcPr>
            <w:tcW w:w="510" w:type="dxa"/>
            <w:vAlign w:val="center"/>
          </w:tcPr>
          <w:p w14:paraId="5D72AB00">
            <w:pPr>
              <w:jc w:val="center"/>
              <w:rPr>
                <w:rFonts w:ascii="楷体" w:hAnsi="楷体" w:eastAsia="楷体"/>
                <w:sz w:val="18"/>
                <w:szCs w:val="18"/>
              </w:rPr>
            </w:pPr>
          </w:p>
        </w:tc>
      </w:tr>
      <w:tr w14:paraId="27E2A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40060D79">
            <w:pPr>
              <w:jc w:val="center"/>
              <w:rPr>
                <w:rFonts w:hint="eastAsia" w:ascii="楷体" w:hAnsi="楷体" w:eastAsia="楷体"/>
                <w:sz w:val="18"/>
                <w:szCs w:val="18"/>
                <w:lang w:eastAsia="zh-CN"/>
              </w:rPr>
            </w:pPr>
            <w:r>
              <w:rPr>
                <w:rFonts w:hint="eastAsia" w:ascii="楷体" w:hAnsi="楷体" w:eastAsia="楷体"/>
                <w:sz w:val="18"/>
                <w:szCs w:val="18"/>
              </w:rPr>
              <w:t>2</w:t>
            </w:r>
            <w:r>
              <w:rPr>
                <w:rFonts w:hint="eastAsia" w:ascii="楷体" w:hAnsi="楷体" w:eastAsia="楷体"/>
                <w:sz w:val="18"/>
                <w:szCs w:val="18"/>
                <w:lang w:val="en-US" w:eastAsia="zh-CN"/>
              </w:rPr>
              <w:t>2</w:t>
            </w:r>
          </w:p>
        </w:tc>
        <w:tc>
          <w:tcPr>
            <w:tcW w:w="1074" w:type="dxa"/>
            <w:vMerge w:val="continue"/>
            <w:vAlign w:val="center"/>
          </w:tcPr>
          <w:p w14:paraId="0D447553">
            <w:pPr>
              <w:pStyle w:val="41"/>
              <w:jc w:val="center"/>
              <w:rPr>
                <w:rFonts w:hint="default" w:ascii="楷体" w:hAnsi="楷体" w:eastAsia="楷体"/>
                <w:sz w:val="18"/>
                <w:szCs w:val="18"/>
              </w:rPr>
            </w:pPr>
          </w:p>
        </w:tc>
        <w:tc>
          <w:tcPr>
            <w:tcW w:w="6236" w:type="dxa"/>
          </w:tcPr>
          <w:p w14:paraId="4E18268A">
            <w:pPr>
              <w:spacing w:line="300" w:lineRule="exact"/>
              <w:ind w:firstLine="400" w:firstLineChars="200"/>
              <w:rPr>
                <w:rFonts w:ascii="楷体" w:hAnsi="楷体" w:eastAsia="楷体"/>
                <w:sz w:val="18"/>
                <w:szCs w:val="18"/>
              </w:rPr>
            </w:pPr>
            <w:r>
              <w:rPr>
                <w:rFonts w:hint="eastAsia" w:asciiTheme="minorEastAsia" w:hAnsiTheme="minorEastAsia" w:eastAsiaTheme="minorEastAsia" w:cstheme="minorEastAsia"/>
                <w:sz w:val="20"/>
              </w:rPr>
              <w:t>4.对轿厢照明、应急灯、报警装置、各按钮、控制开关等，要保持功能完好、无破损现象。</w:t>
            </w:r>
          </w:p>
        </w:tc>
        <w:tc>
          <w:tcPr>
            <w:tcW w:w="6236" w:type="dxa"/>
            <w:vAlign w:val="center"/>
          </w:tcPr>
          <w:p w14:paraId="2D05FB9F">
            <w:pPr>
              <w:jc w:val="center"/>
              <w:rPr>
                <w:rFonts w:ascii="楷体" w:hAnsi="楷体" w:eastAsia="楷体"/>
                <w:sz w:val="18"/>
                <w:szCs w:val="18"/>
              </w:rPr>
            </w:pPr>
          </w:p>
        </w:tc>
        <w:tc>
          <w:tcPr>
            <w:tcW w:w="690" w:type="dxa"/>
            <w:vAlign w:val="center"/>
          </w:tcPr>
          <w:p w14:paraId="7D5C0CDF">
            <w:pPr>
              <w:jc w:val="center"/>
              <w:rPr>
                <w:rFonts w:ascii="楷体" w:hAnsi="楷体" w:eastAsia="楷体"/>
                <w:sz w:val="18"/>
                <w:szCs w:val="18"/>
              </w:rPr>
            </w:pPr>
          </w:p>
        </w:tc>
        <w:tc>
          <w:tcPr>
            <w:tcW w:w="510" w:type="dxa"/>
            <w:vAlign w:val="center"/>
          </w:tcPr>
          <w:p w14:paraId="5CBD746F">
            <w:pPr>
              <w:jc w:val="center"/>
              <w:rPr>
                <w:rFonts w:ascii="楷体" w:hAnsi="楷体" w:eastAsia="楷体"/>
                <w:sz w:val="18"/>
                <w:szCs w:val="18"/>
              </w:rPr>
            </w:pPr>
          </w:p>
        </w:tc>
      </w:tr>
      <w:tr w14:paraId="7C29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3B138003">
            <w:pPr>
              <w:jc w:val="center"/>
              <w:rPr>
                <w:rFonts w:ascii="楷体" w:hAnsi="楷体" w:eastAsia="楷体"/>
                <w:sz w:val="18"/>
                <w:szCs w:val="18"/>
              </w:rPr>
            </w:pPr>
            <w:r>
              <w:rPr>
                <w:rFonts w:hint="eastAsia" w:ascii="楷体" w:hAnsi="楷体" w:eastAsia="楷体"/>
                <w:sz w:val="18"/>
                <w:szCs w:val="18"/>
              </w:rPr>
              <w:t>2</w:t>
            </w:r>
            <w:r>
              <w:rPr>
                <w:rFonts w:hint="eastAsia" w:ascii="楷体" w:hAnsi="楷体" w:eastAsia="楷体"/>
                <w:sz w:val="18"/>
                <w:szCs w:val="18"/>
                <w:lang w:val="en-US" w:eastAsia="zh-CN"/>
              </w:rPr>
              <w:t>3</w:t>
            </w:r>
          </w:p>
        </w:tc>
        <w:tc>
          <w:tcPr>
            <w:tcW w:w="1074" w:type="dxa"/>
            <w:vMerge w:val="continue"/>
            <w:vAlign w:val="center"/>
          </w:tcPr>
          <w:p w14:paraId="5B36895E">
            <w:pPr>
              <w:pStyle w:val="41"/>
              <w:jc w:val="center"/>
              <w:rPr>
                <w:rFonts w:hint="default" w:ascii="楷体" w:hAnsi="楷体" w:eastAsia="楷体"/>
                <w:sz w:val="18"/>
                <w:szCs w:val="18"/>
              </w:rPr>
            </w:pPr>
          </w:p>
        </w:tc>
        <w:tc>
          <w:tcPr>
            <w:tcW w:w="6236" w:type="dxa"/>
          </w:tcPr>
          <w:p w14:paraId="18D7ADFE">
            <w:pPr>
              <w:spacing w:line="300" w:lineRule="exact"/>
              <w:ind w:firstLine="400" w:firstLineChars="200"/>
              <w:rPr>
                <w:rFonts w:ascii="楷体" w:hAnsi="楷体" w:eastAsia="楷体"/>
                <w:sz w:val="18"/>
                <w:szCs w:val="18"/>
              </w:rPr>
            </w:pPr>
            <w:r>
              <w:rPr>
                <w:rFonts w:hint="eastAsia" w:asciiTheme="minorEastAsia" w:hAnsiTheme="minorEastAsia" w:eastAsiaTheme="minorEastAsia" w:cstheme="minorEastAsia"/>
                <w:sz w:val="20"/>
              </w:rPr>
              <w:t>5.对安全触板、光电保护及其它保护装置，动作要保持符合设计要求。</w:t>
            </w:r>
          </w:p>
        </w:tc>
        <w:tc>
          <w:tcPr>
            <w:tcW w:w="6236" w:type="dxa"/>
            <w:vAlign w:val="center"/>
          </w:tcPr>
          <w:p w14:paraId="31F48359">
            <w:pPr>
              <w:jc w:val="center"/>
              <w:rPr>
                <w:rFonts w:ascii="楷体" w:hAnsi="楷体" w:eastAsia="楷体"/>
                <w:sz w:val="18"/>
                <w:szCs w:val="18"/>
              </w:rPr>
            </w:pPr>
          </w:p>
        </w:tc>
        <w:tc>
          <w:tcPr>
            <w:tcW w:w="690" w:type="dxa"/>
            <w:vAlign w:val="center"/>
          </w:tcPr>
          <w:p w14:paraId="3479F9D7">
            <w:pPr>
              <w:jc w:val="center"/>
              <w:rPr>
                <w:rFonts w:ascii="楷体" w:hAnsi="楷体" w:eastAsia="楷体"/>
                <w:sz w:val="18"/>
                <w:szCs w:val="18"/>
              </w:rPr>
            </w:pPr>
          </w:p>
        </w:tc>
        <w:tc>
          <w:tcPr>
            <w:tcW w:w="510" w:type="dxa"/>
            <w:vAlign w:val="center"/>
          </w:tcPr>
          <w:p w14:paraId="08BFB4F4">
            <w:pPr>
              <w:jc w:val="center"/>
              <w:rPr>
                <w:rFonts w:ascii="楷体" w:hAnsi="楷体" w:eastAsia="楷体"/>
                <w:sz w:val="18"/>
                <w:szCs w:val="18"/>
              </w:rPr>
            </w:pPr>
          </w:p>
        </w:tc>
      </w:tr>
      <w:tr w14:paraId="5A800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3655128A">
            <w:pPr>
              <w:jc w:val="center"/>
              <w:rPr>
                <w:rFonts w:ascii="楷体" w:hAnsi="楷体" w:eastAsia="楷体"/>
                <w:sz w:val="18"/>
                <w:szCs w:val="18"/>
              </w:rPr>
            </w:pPr>
            <w:r>
              <w:rPr>
                <w:rFonts w:hint="eastAsia" w:ascii="楷体" w:hAnsi="楷体" w:eastAsia="楷体"/>
                <w:sz w:val="18"/>
                <w:szCs w:val="18"/>
              </w:rPr>
              <w:t>2</w:t>
            </w:r>
            <w:r>
              <w:rPr>
                <w:rFonts w:hint="eastAsia" w:ascii="楷体" w:hAnsi="楷体" w:eastAsia="楷体"/>
                <w:sz w:val="18"/>
                <w:szCs w:val="18"/>
                <w:lang w:val="en-US" w:eastAsia="zh-CN"/>
              </w:rPr>
              <w:t>4</w:t>
            </w:r>
          </w:p>
        </w:tc>
        <w:tc>
          <w:tcPr>
            <w:tcW w:w="1074" w:type="dxa"/>
            <w:vMerge w:val="continue"/>
            <w:vAlign w:val="center"/>
          </w:tcPr>
          <w:p w14:paraId="77B80E44">
            <w:pPr>
              <w:pStyle w:val="41"/>
              <w:jc w:val="center"/>
              <w:rPr>
                <w:rFonts w:hint="default" w:ascii="楷体" w:hAnsi="楷体" w:eastAsia="楷体"/>
                <w:sz w:val="18"/>
                <w:szCs w:val="18"/>
              </w:rPr>
            </w:pPr>
          </w:p>
        </w:tc>
        <w:tc>
          <w:tcPr>
            <w:tcW w:w="6236" w:type="dxa"/>
          </w:tcPr>
          <w:p w14:paraId="6F37B0BC">
            <w:pPr>
              <w:spacing w:line="300" w:lineRule="exact"/>
              <w:ind w:firstLine="400" w:firstLineChars="200"/>
              <w:rPr>
                <w:rFonts w:ascii="楷体" w:hAnsi="楷体" w:eastAsia="楷体"/>
                <w:sz w:val="18"/>
                <w:szCs w:val="18"/>
              </w:rPr>
            </w:pPr>
            <w:r>
              <w:rPr>
                <w:rFonts w:hint="eastAsia" w:asciiTheme="minorEastAsia" w:hAnsiTheme="minorEastAsia" w:eastAsiaTheme="minorEastAsia" w:cstheme="minorEastAsia"/>
                <w:sz w:val="20"/>
              </w:rPr>
              <w:t>6.各层厅外指示灯、到站钟和召唤按钮、消防开关，要保持功能完好。</w:t>
            </w:r>
          </w:p>
        </w:tc>
        <w:tc>
          <w:tcPr>
            <w:tcW w:w="6236" w:type="dxa"/>
            <w:vAlign w:val="center"/>
          </w:tcPr>
          <w:p w14:paraId="45AC0DD7">
            <w:pPr>
              <w:jc w:val="center"/>
              <w:rPr>
                <w:rFonts w:ascii="楷体" w:hAnsi="楷体" w:eastAsia="楷体"/>
                <w:sz w:val="18"/>
                <w:szCs w:val="18"/>
              </w:rPr>
            </w:pPr>
          </w:p>
        </w:tc>
        <w:tc>
          <w:tcPr>
            <w:tcW w:w="690" w:type="dxa"/>
            <w:vAlign w:val="center"/>
          </w:tcPr>
          <w:p w14:paraId="335273EF">
            <w:pPr>
              <w:jc w:val="center"/>
              <w:rPr>
                <w:rFonts w:ascii="楷体" w:hAnsi="楷体" w:eastAsia="楷体"/>
                <w:sz w:val="18"/>
                <w:szCs w:val="18"/>
              </w:rPr>
            </w:pPr>
          </w:p>
        </w:tc>
        <w:tc>
          <w:tcPr>
            <w:tcW w:w="510" w:type="dxa"/>
            <w:vAlign w:val="center"/>
          </w:tcPr>
          <w:p w14:paraId="254B969E">
            <w:pPr>
              <w:jc w:val="center"/>
              <w:rPr>
                <w:rFonts w:ascii="楷体" w:hAnsi="楷体" w:eastAsia="楷体"/>
                <w:sz w:val="18"/>
                <w:szCs w:val="18"/>
              </w:rPr>
            </w:pPr>
          </w:p>
        </w:tc>
      </w:tr>
      <w:tr w14:paraId="1780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40D7D0CC">
            <w:pPr>
              <w:jc w:val="center"/>
              <w:rPr>
                <w:rFonts w:ascii="楷体" w:hAnsi="楷体" w:eastAsia="楷体"/>
                <w:sz w:val="18"/>
                <w:szCs w:val="18"/>
              </w:rPr>
            </w:pPr>
            <w:r>
              <w:rPr>
                <w:rFonts w:hint="eastAsia" w:ascii="楷体" w:hAnsi="楷体" w:eastAsia="楷体"/>
                <w:sz w:val="18"/>
                <w:szCs w:val="18"/>
              </w:rPr>
              <w:t>2</w:t>
            </w:r>
            <w:r>
              <w:rPr>
                <w:rFonts w:hint="eastAsia" w:ascii="楷体" w:hAnsi="楷体" w:eastAsia="楷体"/>
                <w:sz w:val="18"/>
                <w:szCs w:val="18"/>
                <w:lang w:val="en-US" w:eastAsia="zh-CN"/>
              </w:rPr>
              <w:t>5</w:t>
            </w:r>
          </w:p>
        </w:tc>
        <w:tc>
          <w:tcPr>
            <w:tcW w:w="1074" w:type="dxa"/>
            <w:vMerge w:val="continue"/>
            <w:vAlign w:val="center"/>
          </w:tcPr>
          <w:p w14:paraId="2F3E18DF">
            <w:pPr>
              <w:pStyle w:val="41"/>
              <w:jc w:val="center"/>
              <w:rPr>
                <w:rFonts w:hint="default" w:ascii="楷体" w:hAnsi="楷体" w:eastAsia="楷体"/>
                <w:sz w:val="18"/>
                <w:szCs w:val="18"/>
              </w:rPr>
            </w:pPr>
          </w:p>
        </w:tc>
        <w:tc>
          <w:tcPr>
            <w:tcW w:w="6236" w:type="dxa"/>
          </w:tcPr>
          <w:p w14:paraId="6EA442DE">
            <w:pPr>
              <w:spacing w:line="300" w:lineRule="exact"/>
              <w:ind w:firstLine="400" w:firstLineChars="200"/>
              <w:rPr>
                <w:rFonts w:ascii="楷体" w:hAnsi="楷体" w:eastAsia="楷体"/>
                <w:sz w:val="18"/>
                <w:szCs w:val="18"/>
              </w:rPr>
            </w:pPr>
            <w:r>
              <w:rPr>
                <w:rFonts w:hint="eastAsia" w:asciiTheme="minorEastAsia" w:hAnsiTheme="minorEastAsia" w:eastAsiaTheme="minorEastAsia" w:cstheme="minorEastAsia"/>
                <w:sz w:val="20"/>
              </w:rPr>
              <w:t>7.厅门滑块、强迫关门装置、厅门上、下坎，要保持清洁、开关门顺畅。</w:t>
            </w:r>
          </w:p>
        </w:tc>
        <w:tc>
          <w:tcPr>
            <w:tcW w:w="6236" w:type="dxa"/>
            <w:vAlign w:val="center"/>
          </w:tcPr>
          <w:p w14:paraId="20B2F6B7">
            <w:pPr>
              <w:jc w:val="center"/>
              <w:rPr>
                <w:rFonts w:ascii="楷体" w:hAnsi="楷体" w:eastAsia="楷体"/>
                <w:sz w:val="18"/>
                <w:szCs w:val="18"/>
              </w:rPr>
            </w:pPr>
          </w:p>
        </w:tc>
        <w:tc>
          <w:tcPr>
            <w:tcW w:w="690" w:type="dxa"/>
            <w:vAlign w:val="center"/>
          </w:tcPr>
          <w:p w14:paraId="1759B227">
            <w:pPr>
              <w:jc w:val="center"/>
              <w:rPr>
                <w:rFonts w:ascii="楷体" w:hAnsi="楷体" w:eastAsia="楷体"/>
                <w:sz w:val="18"/>
                <w:szCs w:val="18"/>
              </w:rPr>
            </w:pPr>
          </w:p>
        </w:tc>
        <w:tc>
          <w:tcPr>
            <w:tcW w:w="510" w:type="dxa"/>
            <w:vAlign w:val="center"/>
          </w:tcPr>
          <w:p w14:paraId="65339E6D">
            <w:pPr>
              <w:jc w:val="center"/>
              <w:rPr>
                <w:rFonts w:ascii="楷体" w:hAnsi="楷体" w:eastAsia="楷体"/>
                <w:sz w:val="18"/>
                <w:szCs w:val="18"/>
              </w:rPr>
            </w:pPr>
          </w:p>
        </w:tc>
      </w:tr>
      <w:tr w14:paraId="457E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05F59392">
            <w:pPr>
              <w:jc w:val="center"/>
              <w:rPr>
                <w:rFonts w:ascii="楷体" w:hAnsi="楷体" w:eastAsia="楷体"/>
                <w:sz w:val="18"/>
                <w:szCs w:val="18"/>
              </w:rPr>
            </w:pPr>
            <w:r>
              <w:rPr>
                <w:rFonts w:hint="eastAsia" w:ascii="楷体" w:hAnsi="楷体" w:eastAsia="楷体"/>
                <w:sz w:val="18"/>
                <w:szCs w:val="18"/>
              </w:rPr>
              <w:t>2</w:t>
            </w:r>
            <w:r>
              <w:rPr>
                <w:rFonts w:hint="eastAsia" w:ascii="楷体" w:hAnsi="楷体" w:eastAsia="楷体"/>
                <w:sz w:val="18"/>
                <w:szCs w:val="18"/>
                <w:lang w:val="en-US" w:eastAsia="zh-CN"/>
              </w:rPr>
              <w:t>6</w:t>
            </w:r>
          </w:p>
        </w:tc>
        <w:tc>
          <w:tcPr>
            <w:tcW w:w="1074" w:type="dxa"/>
            <w:vMerge w:val="continue"/>
            <w:vAlign w:val="center"/>
          </w:tcPr>
          <w:p w14:paraId="749E143F">
            <w:pPr>
              <w:pStyle w:val="41"/>
              <w:jc w:val="center"/>
              <w:rPr>
                <w:rFonts w:hint="default" w:ascii="楷体" w:hAnsi="楷体" w:eastAsia="楷体"/>
                <w:sz w:val="18"/>
                <w:szCs w:val="18"/>
              </w:rPr>
            </w:pPr>
          </w:p>
        </w:tc>
        <w:tc>
          <w:tcPr>
            <w:tcW w:w="6236" w:type="dxa"/>
          </w:tcPr>
          <w:p w14:paraId="2471E1E7">
            <w:pPr>
              <w:spacing w:line="300" w:lineRule="exact"/>
              <w:ind w:firstLine="400" w:firstLineChars="200"/>
              <w:rPr>
                <w:rFonts w:ascii="楷体" w:hAnsi="楷体" w:eastAsia="楷体"/>
                <w:sz w:val="18"/>
                <w:szCs w:val="18"/>
              </w:rPr>
            </w:pPr>
            <w:r>
              <w:rPr>
                <w:rFonts w:hint="eastAsia" w:asciiTheme="minorEastAsia" w:hAnsiTheme="minorEastAsia" w:eastAsiaTheme="minorEastAsia" w:cstheme="minorEastAsia"/>
                <w:sz w:val="20"/>
              </w:rPr>
              <w:t>8.轿门上、下坎、滑轮、门刀组件、门机等，要保持动作灵活、无撞击声、嗓音低。</w:t>
            </w:r>
          </w:p>
        </w:tc>
        <w:tc>
          <w:tcPr>
            <w:tcW w:w="6236" w:type="dxa"/>
            <w:vAlign w:val="center"/>
          </w:tcPr>
          <w:p w14:paraId="5366880E">
            <w:pPr>
              <w:jc w:val="center"/>
              <w:rPr>
                <w:rFonts w:ascii="楷体" w:hAnsi="楷体" w:eastAsia="楷体"/>
                <w:sz w:val="18"/>
                <w:szCs w:val="18"/>
              </w:rPr>
            </w:pPr>
          </w:p>
        </w:tc>
        <w:tc>
          <w:tcPr>
            <w:tcW w:w="690" w:type="dxa"/>
            <w:vAlign w:val="center"/>
          </w:tcPr>
          <w:p w14:paraId="58A10716">
            <w:pPr>
              <w:jc w:val="center"/>
              <w:rPr>
                <w:rFonts w:ascii="楷体" w:hAnsi="楷体" w:eastAsia="楷体"/>
                <w:sz w:val="18"/>
                <w:szCs w:val="18"/>
              </w:rPr>
            </w:pPr>
          </w:p>
        </w:tc>
        <w:tc>
          <w:tcPr>
            <w:tcW w:w="510" w:type="dxa"/>
            <w:vAlign w:val="center"/>
          </w:tcPr>
          <w:p w14:paraId="3E940DFD">
            <w:pPr>
              <w:jc w:val="center"/>
              <w:rPr>
                <w:rFonts w:ascii="楷体" w:hAnsi="楷体" w:eastAsia="楷体"/>
                <w:sz w:val="18"/>
                <w:szCs w:val="18"/>
              </w:rPr>
            </w:pPr>
          </w:p>
        </w:tc>
      </w:tr>
      <w:tr w14:paraId="3697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615FD445">
            <w:pPr>
              <w:jc w:val="center"/>
              <w:rPr>
                <w:rFonts w:ascii="楷体" w:hAnsi="楷体" w:eastAsia="楷体"/>
                <w:sz w:val="18"/>
                <w:szCs w:val="18"/>
              </w:rPr>
            </w:pPr>
            <w:r>
              <w:rPr>
                <w:rFonts w:hint="eastAsia" w:ascii="楷体" w:hAnsi="楷体" w:eastAsia="楷体"/>
                <w:sz w:val="18"/>
                <w:szCs w:val="18"/>
              </w:rPr>
              <w:t>2</w:t>
            </w:r>
            <w:r>
              <w:rPr>
                <w:rFonts w:hint="eastAsia" w:ascii="楷体" w:hAnsi="楷体" w:eastAsia="楷体"/>
                <w:sz w:val="18"/>
                <w:szCs w:val="18"/>
                <w:lang w:val="en-US" w:eastAsia="zh-CN"/>
              </w:rPr>
              <w:t>7</w:t>
            </w:r>
          </w:p>
        </w:tc>
        <w:tc>
          <w:tcPr>
            <w:tcW w:w="1074" w:type="dxa"/>
            <w:vMerge w:val="continue"/>
            <w:vAlign w:val="center"/>
          </w:tcPr>
          <w:p w14:paraId="17D651BD">
            <w:pPr>
              <w:pStyle w:val="41"/>
              <w:jc w:val="center"/>
              <w:rPr>
                <w:rFonts w:hint="default" w:ascii="楷体" w:hAnsi="楷体" w:eastAsia="楷体"/>
                <w:sz w:val="18"/>
                <w:szCs w:val="18"/>
              </w:rPr>
            </w:pPr>
          </w:p>
        </w:tc>
        <w:tc>
          <w:tcPr>
            <w:tcW w:w="6236" w:type="dxa"/>
          </w:tcPr>
          <w:p w14:paraId="647EF892">
            <w:pPr>
              <w:spacing w:line="300" w:lineRule="exact"/>
              <w:ind w:firstLine="400" w:firstLineChars="200"/>
              <w:rPr>
                <w:rFonts w:ascii="楷体" w:hAnsi="楷体" w:eastAsia="楷体"/>
                <w:sz w:val="18"/>
                <w:szCs w:val="18"/>
              </w:rPr>
            </w:pPr>
            <w:r>
              <w:rPr>
                <w:rFonts w:hint="eastAsia" w:asciiTheme="minorEastAsia" w:hAnsiTheme="minorEastAsia" w:eastAsiaTheme="minorEastAsia" w:cstheme="minorEastAsia"/>
                <w:sz w:val="20"/>
              </w:rPr>
              <w:t>9.轿顶照明和开关、检修箱、安全窗、急停、安全钳开关、超载装置等功能要完好。</w:t>
            </w:r>
          </w:p>
        </w:tc>
        <w:tc>
          <w:tcPr>
            <w:tcW w:w="6236" w:type="dxa"/>
            <w:vAlign w:val="center"/>
          </w:tcPr>
          <w:p w14:paraId="0472661B">
            <w:pPr>
              <w:jc w:val="center"/>
              <w:rPr>
                <w:rFonts w:ascii="楷体" w:hAnsi="楷体" w:eastAsia="楷体"/>
                <w:sz w:val="18"/>
                <w:szCs w:val="18"/>
              </w:rPr>
            </w:pPr>
          </w:p>
        </w:tc>
        <w:tc>
          <w:tcPr>
            <w:tcW w:w="690" w:type="dxa"/>
            <w:vAlign w:val="center"/>
          </w:tcPr>
          <w:p w14:paraId="72AEE704">
            <w:pPr>
              <w:jc w:val="center"/>
              <w:rPr>
                <w:rFonts w:ascii="楷体" w:hAnsi="楷体" w:eastAsia="楷体"/>
                <w:sz w:val="18"/>
                <w:szCs w:val="18"/>
              </w:rPr>
            </w:pPr>
          </w:p>
        </w:tc>
        <w:tc>
          <w:tcPr>
            <w:tcW w:w="510" w:type="dxa"/>
            <w:vAlign w:val="center"/>
          </w:tcPr>
          <w:p w14:paraId="3B603EC3">
            <w:pPr>
              <w:jc w:val="center"/>
              <w:rPr>
                <w:rFonts w:ascii="楷体" w:hAnsi="楷体" w:eastAsia="楷体"/>
                <w:sz w:val="18"/>
                <w:szCs w:val="18"/>
              </w:rPr>
            </w:pPr>
          </w:p>
        </w:tc>
      </w:tr>
      <w:tr w14:paraId="5559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17762556">
            <w:pPr>
              <w:jc w:val="center"/>
              <w:rPr>
                <w:rFonts w:ascii="楷体" w:hAnsi="楷体" w:eastAsia="楷体"/>
                <w:sz w:val="18"/>
                <w:szCs w:val="18"/>
              </w:rPr>
            </w:pPr>
            <w:r>
              <w:rPr>
                <w:rFonts w:hint="eastAsia" w:ascii="楷体" w:hAnsi="楷体" w:eastAsia="楷体"/>
                <w:sz w:val="18"/>
                <w:szCs w:val="18"/>
              </w:rPr>
              <w:t>2</w:t>
            </w:r>
            <w:r>
              <w:rPr>
                <w:rFonts w:hint="eastAsia" w:ascii="楷体" w:hAnsi="楷体" w:eastAsia="楷体"/>
                <w:sz w:val="18"/>
                <w:szCs w:val="18"/>
                <w:lang w:val="en-US" w:eastAsia="zh-CN"/>
              </w:rPr>
              <w:t>8</w:t>
            </w:r>
          </w:p>
        </w:tc>
        <w:tc>
          <w:tcPr>
            <w:tcW w:w="1074" w:type="dxa"/>
            <w:vMerge w:val="continue"/>
            <w:vAlign w:val="center"/>
          </w:tcPr>
          <w:p w14:paraId="336E29A2">
            <w:pPr>
              <w:pStyle w:val="41"/>
              <w:jc w:val="center"/>
              <w:rPr>
                <w:rFonts w:hint="default" w:ascii="楷体" w:hAnsi="楷体" w:eastAsia="楷体"/>
                <w:sz w:val="18"/>
                <w:szCs w:val="18"/>
              </w:rPr>
            </w:pPr>
          </w:p>
        </w:tc>
        <w:tc>
          <w:tcPr>
            <w:tcW w:w="6236" w:type="dxa"/>
          </w:tcPr>
          <w:p w14:paraId="124E9793">
            <w:pPr>
              <w:spacing w:line="300" w:lineRule="exact"/>
              <w:ind w:firstLine="400" w:firstLineChars="200"/>
              <w:rPr>
                <w:rFonts w:ascii="楷体" w:hAnsi="楷体" w:eastAsia="楷体"/>
                <w:sz w:val="18"/>
                <w:szCs w:val="18"/>
              </w:rPr>
            </w:pPr>
            <w:r>
              <w:rPr>
                <w:rFonts w:hint="eastAsia" w:asciiTheme="minorEastAsia" w:hAnsiTheme="minorEastAsia" w:eastAsiaTheme="minorEastAsia" w:cstheme="minorEastAsia"/>
                <w:sz w:val="20"/>
              </w:rPr>
              <w:t>10.感应器、井道信息装置要清洁无破损、无断线脱线现象。</w:t>
            </w:r>
          </w:p>
        </w:tc>
        <w:tc>
          <w:tcPr>
            <w:tcW w:w="6236" w:type="dxa"/>
            <w:vAlign w:val="center"/>
          </w:tcPr>
          <w:p w14:paraId="455B04BC">
            <w:pPr>
              <w:jc w:val="center"/>
              <w:rPr>
                <w:rFonts w:ascii="楷体" w:hAnsi="楷体" w:eastAsia="楷体"/>
                <w:sz w:val="18"/>
                <w:szCs w:val="18"/>
              </w:rPr>
            </w:pPr>
          </w:p>
        </w:tc>
        <w:tc>
          <w:tcPr>
            <w:tcW w:w="690" w:type="dxa"/>
            <w:vAlign w:val="center"/>
          </w:tcPr>
          <w:p w14:paraId="23EC67C2">
            <w:pPr>
              <w:jc w:val="center"/>
              <w:rPr>
                <w:rFonts w:ascii="楷体" w:hAnsi="楷体" w:eastAsia="楷体"/>
                <w:sz w:val="18"/>
                <w:szCs w:val="18"/>
              </w:rPr>
            </w:pPr>
          </w:p>
        </w:tc>
        <w:tc>
          <w:tcPr>
            <w:tcW w:w="510" w:type="dxa"/>
            <w:vAlign w:val="center"/>
          </w:tcPr>
          <w:p w14:paraId="6129E851">
            <w:pPr>
              <w:jc w:val="center"/>
              <w:rPr>
                <w:rFonts w:ascii="楷体" w:hAnsi="楷体" w:eastAsia="楷体"/>
                <w:sz w:val="18"/>
                <w:szCs w:val="18"/>
              </w:rPr>
            </w:pPr>
          </w:p>
        </w:tc>
      </w:tr>
      <w:tr w14:paraId="66E80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5C13B9C8">
            <w:pPr>
              <w:jc w:val="center"/>
              <w:rPr>
                <w:rFonts w:ascii="楷体" w:hAnsi="楷体" w:eastAsia="楷体"/>
                <w:sz w:val="18"/>
                <w:szCs w:val="18"/>
              </w:rPr>
            </w:pPr>
            <w:r>
              <w:rPr>
                <w:rFonts w:hint="eastAsia" w:ascii="楷体" w:hAnsi="楷体" w:eastAsia="楷体"/>
                <w:sz w:val="18"/>
                <w:szCs w:val="18"/>
                <w:lang w:val="en-US" w:eastAsia="zh-CN"/>
              </w:rPr>
              <w:t>29</w:t>
            </w:r>
          </w:p>
        </w:tc>
        <w:tc>
          <w:tcPr>
            <w:tcW w:w="1074" w:type="dxa"/>
            <w:vMerge w:val="continue"/>
            <w:vAlign w:val="center"/>
          </w:tcPr>
          <w:p w14:paraId="3B02B997">
            <w:pPr>
              <w:pStyle w:val="41"/>
              <w:jc w:val="center"/>
              <w:rPr>
                <w:rFonts w:hint="default" w:ascii="楷体" w:hAnsi="楷体" w:eastAsia="楷体"/>
                <w:sz w:val="18"/>
                <w:szCs w:val="18"/>
              </w:rPr>
            </w:pPr>
          </w:p>
        </w:tc>
        <w:tc>
          <w:tcPr>
            <w:tcW w:w="6236" w:type="dxa"/>
          </w:tcPr>
          <w:p w14:paraId="5BBB0317">
            <w:pPr>
              <w:spacing w:line="300" w:lineRule="exact"/>
              <w:ind w:firstLine="400" w:firstLineChars="200"/>
              <w:rPr>
                <w:rFonts w:ascii="楷体" w:hAnsi="楷体" w:eastAsia="楷体"/>
                <w:sz w:val="18"/>
                <w:szCs w:val="18"/>
              </w:rPr>
            </w:pPr>
            <w:r>
              <w:rPr>
                <w:rFonts w:hint="eastAsia" w:asciiTheme="minorEastAsia" w:hAnsiTheme="minorEastAsia" w:eastAsiaTheme="minorEastAsia" w:cstheme="minorEastAsia"/>
                <w:sz w:val="20"/>
              </w:rPr>
              <w:t>11.曳引钢丝绳、绳头组合、限速器钢丝绳，张紧度合适，无断股、松弛现象。</w:t>
            </w:r>
          </w:p>
        </w:tc>
        <w:tc>
          <w:tcPr>
            <w:tcW w:w="6236" w:type="dxa"/>
            <w:vAlign w:val="center"/>
          </w:tcPr>
          <w:p w14:paraId="19749246">
            <w:pPr>
              <w:jc w:val="center"/>
              <w:rPr>
                <w:rFonts w:ascii="楷体" w:hAnsi="楷体" w:eastAsia="楷体"/>
                <w:sz w:val="18"/>
                <w:szCs w:val="18"/>
              </w:rPr>
            </w:pPr>
          </w:p>
        </w:tc>
        <w:tc>
          <w:tcPr>
            <w:tcW w:w="690" w:type="dxa"/>
            <w:vAlign w:val="center"/>
          </w:tcPr>
          <w:p w14:paraId="0414B3A1">
            <w:pPr>
              <w:jc w:val="center"/>
              <w:rPr>
                <w:rFonts w:ascii="楷体" w:hAnsi="楷体" w:eastAsia="楷体"/>
                <w:sz w:val="18"/>
                <w:szCs w:val="18"/>
              </w:rPr>
            </w:pPr>
          </w:p>
        </w:tc>
        <w:tc>
          <w:tcPr>
            <w:tcW w:w="510" w:type="dxa"/>
            <w:vAlign w:val="center"/>
          </w:tcPr>
          <w:p w14:paraId="54AE1B55">
            <w:pPr>
              <w:jc w:val="center"/>
              <w:rPr>
                <w:rFonts w:ascii="楷体" w:hAnsi="楷体" w:eastAsia="楷体"/>
                <w:sz w:val="18"/>
                <w:szCs w:val="18"/>
              </w:rPr>
            </w:pPr>
          </w:p>
        </w:tc>
      </w:tr>
      <w:tr w14:paraId="0193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6B0B0F83">
            <w:pPr>
              <w:jc w:val="center"/>
              <w:rPr>
                <w:rFonts w:ascii="楷体" w:hAnsi="楷体" w:eastAsia="楷体"/>
                <w:sz w:val="18"/>
                <w:szCs w:val="18"/>
              </w:rPr>
            </w:pPr>
            <w:r>
              <w:rPr>
                <w:rFonts w:hint="eastAsia" w:ascii="楷体" w:hAnsi="楷体" w:eastAsia="楷体"/>
                <w:sz w:val="18"/>
                <w:szCs w:val="18"/>
              </w:rPr>
              <w:t>3</w:t>
            </w:r>
            <w:r>
              <w:rPr>
                <w:rFonts w:hint="eastAsia" w:ascii="楷体" w:hAnsi="楷体" w:eastAsia="楷体"/>
                <w:sz w:val="18"/>
                <w:szCs w:val="18"/>
                <w:lang w:val="en-US" w:eastAsia="zh-CN"/>
              </w:rPr>
              <w:t>0</w:t>
            </w:r>
          </w:p>
        </w:tc>
        <w:tc>
          <w:tcPr>
            <w:tcW w:w="1074" w:type="dxa"/>
            <w:vMerge w:val="continue"/>
            <w:vAlign w:val="center"/>
          </w:tcPr>
          <w:p w14:paraId="774978BC">
            <w:pPr>
              <w:pStyle w:val="41"/>
              <w:jc w:val="center"/>
              <w:rPr>
                <w:rFonts w:hint="default" w:ascii="楷体" w:hAnsi="楷体" w:eastAsia="楷体"/>
                <w:sz w:val="18"/>
                <w:szCs w:val="18"/>
              </w:rPr>
            </w:pPr>
          </w:p>
        </w:tc>
        <w:tc>
          <w:tcPr>
            <w:tcW w:w="6236" w:type="dxa"/>
          </w:tcPr>
          <w:p w14:paraId="252B7763">
            <w:pPr>
              <w:spacing w:line="300" w:lineRule="exact"/>
              <w:ind w:firstLine="400" w:firstLineChars="200"/>
              <w:rPr>
                <w:rFonts w:ascii="楷体" w:hAnsi="楷体" w:eastAsia="楷体"/>
                <w:sz w:val="18"/>
                <w:szCs w:val="18"/>
              </w:rPr>
            </w:pPr>
            <w:r>
              <w:rPr>
                <w:rFonts w:hint="eastAsia" w:asciiTheme="minorEastAsia" w:hAnsiTheme="minorEastAsia" w:eastAsiaTheme="minorEastAsia" w:cstheme="minorEastAsia"/>
                <w:sz w:val="20"/>
              </w:rPr>
              <w:t>12.随行电缆无扭曲、缠绕现象，补偿链装置无松驰和撞击声。</w:t>
            </w:r>
          </w:p>
        </w:tc>
        <w:tc>
          <w:tcPr>
            <w:tcW w:w="6236" w:type="dxa"/>
            <w:vAlign w:val="center"/>
          </w:tcPr>
          <w:p w14:paraId="1A1CD8FB">
            <w:pPr>
              <w:jc w:val="center"/>
              <w:rPr>
                <w:rFonts w:ascii="楷体" w:hAnsi="楷体" w:eastAsia="楷体"/>
                <w:sz w:val="18"/>
                <w:szCs w:val="18"/>
              </w:rPr>
            </w:pPr>
          </w:p>
        </w:tc>
        <w:tc>
          <w:tcPr>
            <w:tcW w:w="690" w:type="dxa"/>
            <w:vAlign w:val="center"/>
          </w:tcPr>
          <w:p w14:paraId="42C77928">
            <w:pPr>
              <w:jc w:val="center"/>
              <w:rPr>
                <w:rFonts w:ascii="楷体" w:hAnsi="楷体" w:eastAsia="楷体"/>
                <w:sz w:val="18"/>
                <w:szCs w:val="18"/>
              </w:rPr>
            </w:pPr>
          </w:p>
        </w:tc>
        <w:tc>
          <w:tcPr>
            <w:tcW w:w="510" w:type="dxa"/>
            <w:vAlign w:val="center"/>
          </w:tcPr>
          <w:p w14:paraId="7722C9E3">
            <w:pPr>
              <w:jc w:val="center"/>
              <w:rPr>
                <w:rFonts w:ascii="楷体" w:hAnsi="楷体" w:eastAsia="楷体"/>
                <w:sz w:val="18"/>
                <w:szCs w:val="18"/>
              </w:rPr>
            </w:pPr>
          </w:p>
        </w:tc>
      </w:tr>
      <w:tr w14:paraId="3B28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11B3E0CD">
            <w:pPr>
              <w:jc w:val="center"/>
              <w:rPr>
                <w:rFonts w:ascii="楷体" w:hAnsi="楷体" w:eastAsia="楷体"/>
                <w:sz w:val="18"/>
                <w:szCs w:val="18"/>
              </w:rPr>
            </w:pPr>
            <w:r>
              <w:rPr>
                <w:rFonts w:hint="eastAsia" w:ascii="楷体" w:hAnsi="楷体" w:eastAsia="楷体"/>
                <w:sz w:val="18"/>
                <w:szCs w:val="18"/>
              </w:rPr>
              <w:t>3</w:t>
            </w:r>
            <w:r>
              <w:rPr>
                <w:rFonts w:hint="eastAsia" w:ascii="楷体" w:hAnsi="楷体" w:eastAsia="楷体"/>
                <w:sz w:val="18"/>
                <w:szCs w:val="18"/>
                <w:lang w:val="en-US" w:eastAsia="zh-CN"/>
              </w:rPr>
              <w:t>1</w:t>
            </w:r>
          </w:p>
        </w:tc>
        <w:tc>
          <w:tcPr>
            <w:tcW w:w="1074" w:type="dxa"/>
            <w:vMerge w:val="continue"/>
            <w:vAlign w:val="center"/>
          </w:tcPr>
          <w:p w14:paraId="44012E87">
            <w:pPr>
              <w:pStyle w:val="41"/>
              <w:jc w:val="center"/>
              <w:rPr>
                <w:rFonts w:hint="default" w:ascii="楷体" w:hAnsi="楷体" w:eastAsia="楷体"/>
                <w:sz w:val="18"/>
                <w:szCs w:val="18"/>
              </w:rPr>
            </w:pPr>
          </w:p>
        </w:tc>
        <w:tc>
          <w:tcPr>
            <w:tcW w:w="6236" w:type="dxa"/>
          </w:tcPr>
          <w:p w14:paraId="2CB6C4DA">
            <w:pPr>
              <w:spacing w:line="300" w:lineRule="exact"/>
              <w:ind w:firstLine="400" w:firstLineChars="200"/>
              <w:rPr>
                <w:rFonts w:ascii="楷体" w:hAnsi="楷体" w:eastAsia="楷体"/>
                <w:sz w:val="18"/>
                <w:szCs w:val="18"/>
              </w:rPr>
            </w:pPr>
            <w:r>
              <w:rPr>
                <w:rFonts w:hint="eastAsia" w:asciiTheme="minorEastAsia" w:hAnsiTheme="minorEastAsia" w:eastAsiaTheme="minorEastAsia" w:cstheme="minorEastAsia"/>
                <w:sz w:val="20"/>
              </w:rPr>
              <w:t>13.各限位开关、限速开关、极限开关等，动作灵活、功能可靠。</w:t>
            </w:r>
          </w:p>
        </w:tc>
        <w:tc>
          <w:tcPr>
            <w:tcW w:w="6236" w:type="dxa"/>
            <w:vAlign w:val="center"/>
          </w:tcPr>
          <w:p w14:paraId="270C7856">
            <w:pPr>
              <w:jc w:val="center"/>
              <w:rPr>
                <w:rFonts w:ascii="楷体" w:hAnsi="楷体" w:eastAsia="楷体"/>
                <w:sz w:val="18"/>
                <w:szCs w:val="18"/>
              </w:rPr>
            </w:pPr>
          </w:p>
        </w:tc>
        <w:tc>
          <w:tcPr>
            <w:tcW w:w="690" w:type="dxa"/>
            <w:vAlign w:val="center"/>
          </w:tcPr>
          <w:p w14:paraId="593FDDF9">
            <w:pPr>
              <w:jc w:val="center"/>
              <w:rPr>
                <w:rFonts w:ascii="楷体" w:hAnsi="楷体" w:eastAsia="楷体"/>
                <w:sz w:val="18"/>
                <w:szCs w:val="18"/>
              </w:rPr>
            </w:pPr>
          </w:p>
        </w:tc>
        <w:tc>
          <w:tcPr>
            <w:tcW w:w="510" w:type="dxa"/>
            <w:vAlign w:val="center"/>
          </w:tcPr>
          <w:p w14:paraId="57D15797">
            <w:pPr>
              <w:jc w:val="center"/>
              <w:rPr>
                <w:rFonts w:ascii="楷体" w:hAnsi="楷体" w:eastAsia="楷体"/>
                <w:sz w:val="18"/>
                <w:szCs w:val="18"/>
              </w:rPr>
            </w:pPr>
          </w:p>
        </w:tc>
      </w:tr>
      <w:tr w14:paraId="51111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2574C7A7">
            <w:pPr>
              <w:jc w:val="center"/>
              <w:rPr>
                <w:rFonts w:ascii="楷体" w:hAnsi="楷体" w:eastAsia="楷体"/>
                <w:sz w:val="18"/>
                <w:szCs w:val="18"/>
              </w:rPr>
            </w:pPr>
            <w:r>
              <w:rPr>
                <w:rFonts w:hint="eastAsia" w:ascii="楷体" w:hAnsi="楷体" w:eastAsia="楷体"/>
                <w:sz w:val="18"/>
                <w:szCs w:val="18"/>
              </w:rPr>
              <w:t>3</w:t>
            </w:r>
            <w:r>
              <w:rPr>
                <w:rFonts w:hint="eastAsia" w:ascii="楷体" w:hAnsi="楷体" w:eastAsia="楷体"/>
                <w:sz w:val="18"/>
                <w:szCs w:val="18"/>
                <w:lang w:val="en-US" w:eastAsia="zh-CN"/>
              </w:rPr>
              <w:t>2</w:t>
            </w:r>
          </w:p>
        </w:tc>
        <w:tc>
          <w:tcPr>
            <w:tcW w:w="1074" w:type="dxa"/>
            <w:vMerge w:val="continue"/>
            <w:vAlign w:val="center"/>
          </w:tcPr>
          <w:p w14:paraId="5FA0566D">
            <w:pPr>
              <w:pStyle w:val="41"/>
              <w:jc w:val="center"/>
              <w:rPr>
                <w:rFonts w:hint="default" w:ascii="楷体" w:hAnsi="楷体" w:eastAsia="楷体"/>
                <w:sz w:val="18"/>
                <w:szCs w:val="18"/>
              </w:rPr>
            </w:pPr>
          </w:p>
        </w:tc>
        <w:tc>
          <w:tcPr>
            <w:tcW w:w="6236" w:type="dxa"/>
          </w:tcPr>
          <w:p w14:paraId="29DD70DD">
            <w:pPr>
              <w:spacing w:line="300" w:lineRule="exact"/>
              <w:ind w:firstLine="400" w:firstLineChars="200"/>
              <w:rPr>
                <w:rFonts w:ascii="楷体" w:hAnsi="楷体" w:eastAsia="楷体"/>
                <w:sz w:val="18"/>
                <w:szCs w:val="18"/>
              </w:rPr>
            </w:pPr>
            <w:r>
              <w:rPr>
                <w:rFonts w:hint="eastAsia" w:asciiTheme="minorEastAsia" w:hAnsiTheme="minorEastAsia" w:eastAsiaTheme="minorEastAsia" w:cstheme="minorEastAsia"/>
                <w:sz w:val="20"/>
              </w:rPr>
              <w:t>14.曳引机、制动器及电动机、曳引机钢丝绳要适时检查。</w:t>
            </w:r>
          </w:p>
        </w:tc>
        <w:tc>
          <w:tcPr>
            <w:tcW w:w="6236" w:type="dxa"/>
            <w:vAlign w:val="center"/>
          </w:tcPr>
          <w:p w14:paraId="3C045A19">
            <w:pPr>
              <w:jc w:val="center"/>
              <w:rPr>
                <w:rFonts w:ascii="楷体" w:hAnsi="楷体" w:eastAsia="楷体"/>
                <w:sz w:val="18"/>
                <w:szCs w:val="18"/>
              </w:rPr>
            </w:pPr>
          </w:p>
        </w:tc>
        <w:tc>
          <w:tcPr>
            <w:tcW w:w="690" w:type="dxa"/>
            <w:vAlign w:val="center"/>
          </w:tcPr>
          <w:p w14:paraId="7D66E6C7">
            <w:pPr>
              <w:jc w:val="center"/>
              <w:rPr>
                <w:rFonts w:ascii="楷体" w:hAnsi="楷体" w:eastAsia="楷体"/>
                <w:sz w:val="18"/>
                <w:szCs w:val="18"/>
              </w:rPr>
            </w:pPr>
          </w:p>
        </w:tc>
        <w:tc>
          <w:tcPr>
            <w:tcW w:w="510" w:type="dxa"/>
            <w:vAlign w:val="center"/>
          </w:tcPr>
          <w:p w14:paraId="07D5BB55">
            <w:pPr>
              <w:jc w:val="center"/>
              <w:rPr>
                <w:rFonts w:ascii="楷体" w:hAnsi="楷体" w:eastAsia="楷体"/>
                <w:sz w:val="18"/>
                <w:szCs w:val="18"/>
              </w:rPr>
            </w:pPr>
          </w:p>
        </w:tc>
      </w:tr>
      <w:tr w14:paraId="7B599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727E0F7B">
            <w:pPr>
              <w:jc w:val="center"/>
              <w:rPr>
                <w:rFonts w:ascii="楷体" w:hAnsi="楷体" w:eastAsia="楷体"/>
                <w:sz w:val="18"/>
                <w:szCs w:val="18"/>
              </w:rPr>
            </w:pPr>
            <w:r>
              <w:rPr>
                <w:rFonts w:hint="eastAsia" w:ascii="楷体" w:hAnsi="楷体" w:eastAsia="楷体"/>
                <w:sz w:val="18"/>
                <w:szCs w:val="18"/>
              </w:rPr>
              <w:t>3</w:t>
            </w:r>
            <w:r>
              <w:rPr>
                <w:rFonts w:hint="eastAsia" w:ascii="楷体" w:hAnsi="楷体" w:eastAsia="楷体"/>
                <w:sz w:val="18"/>
                <w:szCs w:val="18"/>
                <w:lang w:val="en-US" w:eastAsia="zh-CN"/>
              </w:rPr>
              <w:t>3</w:t>
            </w:r>
          </w:p>
        </w:tc>
        <w:tc>
          <w:tcPr>
            <w:tcW w:w="1074" w:type="dxa"/>
            <w:vMerge w:val="continue"/>
            <w:vAlign w:val="center"/>
          </w:tcPr>
          <w:p w14:paraId="749091A9">
            <w:pPr>
              <w:pStyle w:val="41"/>
              <w:jc w:val="center"/>
              <w:rPr>
                <w:rFonts w:hint="default" w:ascii="楷体" w:hAnsi="楷体" w:eastAsia="楷体"/>
                <w:sz w:val="18"/>
                <w:szCs w:val="18"/>
              </w:rPr>
            </w:pPr>
          </w:p>
        </w:tc>
        <w:tc>
          <w:tcPr>
            <w:tcW w:w="6236" w:type="dxa"/>
          </w:tcPr>
          <w:p w14:paraId="3B4334F2">
            <w:pPr>
              <w:spacing w:line="300" w:lineRule="exact"/>
              <w:ind w:firstLine="400" w:firstLineChars="200"/>
              <w:rPr>
                <w:rFonts w:ascii="楷体" w:hAnsi="楷体" w:eastAsia="楷体"/>
                <w:sz w:val="18"/>
                <w:szCs w:val="18"/>
              </w:rPr>
            </w:pPr>
            <w:r>
              <w:rPr>
                <w:rFonts w:hint="eastAsia" w:asciiTheme="minorEastAsia" w:hAnsiTheme="minorEastAsia" w:eastAsiaTheme="minorEastAsia" w:cstheme="minorEastAsia"/>
                <w:sz w:val="20"/>
              </w:rPr>
              <w:t>15.控制柜各项检查：过流装置、短路保护、接触器、限速器、安全钳联动，要及时观察，定期检查，必要时进行联动试验。</w:t>
            </w:r>
          </w:p>
        </w:tc>
        <w:tc>
          <w:tcPr>
            <w:tcW w:w="6236" w:type="dxa"/>
            <w:vAlign w:val="center"/>
          </w:tcPr>
          <w:p w14:paraId="41065627">
            <w:pPr>
              <w:jc w:val="center"/>
              <w:rPr>
                <w:rFonts w:ascii="楷体" w:hAnsi="楷体" w:eastAsia="楷体"/>
                <w:sz w:val="18"/>
                <w:szCs w:val="18"/>
              </w:rPr>
            </w:pPr>
          </w:p>
        </w:tc>
        <w:tc>
          <w:tcPr>
            <w:tcW w:w="690" w:type="dxa"/>
            <w:vAlign w:val="center"/>
          </w:tcPr>
          <w:p w14:paraId="7303FD84">
            <w:pPr>
              <w:jc w:val="center"/>
              <w:rPr>
                <w:rFonts w:ascii="楷体" w:hAnsi="楷体" w:eastAsia="楷体"/>
                <w:sz w:val="18"/>
                <w:szCs w:val="18"/>
              </w:rPr>
            </w:pPr>
          </w:p>
        </w:tc>
        <w:tc>
          <w:tcPr>
            <w:tcW w:w="510" w:type="dxa"/>
            <w:vAlign w:val="center"/>
          </w:tcPr>
          <w:p w14:paraId="0B384132">
            <w:pPr>
              <w:jc w:val="center"/>
              <w:rPr>
                <w:rFonts w:ascii="楷体" w:hAnsi="楷体" w:eastAsia="楷体"/>
                <w:sz w:val="18"/>
                <w:szCs w:val="18"/>
              </w:rPr>
            </w:pPr>
          </w:p>
        </w:tc>
      </w:tr>
      <w:tr w14:paraId="6BA20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3FC79FD3">
            <w:pPr>
              <w:jc w:val="center"/>
              <w:rPr>
                <w:rFonts w:ascii="楷体" w:hAnsi="楷体" w:eastAsia="楷体"/>
                <w:sz w:val="18"/>
                <w:szCs w:val="18"/>
              </w:rPr>
            </w:pPr>
            <w:r>
              <w:rPr>
                <w:rFonts w:hint="eastAsia" w:ascii="楷体" w:hAnsi="楷体" w:eastAsia="楷体"/>
                <w:sz w:val="18"/>
                <w:szCs w:val="18"/>
              </w:rPr>
              <w:t>3</w:t>
            </w:r>
            <w:r>
              <w:rPr>
                <w:rFonts w:hint="eastAsia" w:ascii="楷体" w:hAnsi="楷体" w:eastAsia="楷体"/>
                <w:sz w:val="18"/>
                <w:szCs w:val="18"/>
                <w:lang w:val="en-US" w:eastAsia="zh-CN"/>
              </w:rPr>
              <w:t>4</w:t>
            </w:r>
          </w:p>
        </w:tc>
        <w:tc>
          <w:tcPr>
            <w:tcW w:w="1074" w:type="dxa"/>
            <w:vMerge w:val="continue"/>
            <w:vAlign w:val="center"/>
          </w:tcPr>
          <w:p w14:paraId="48574F76">
            <w:pPr>
              <w:pStyle w:val="41"/>
              <w:jc w:val="center"/>
              <w:rPr>
                <w:rFonts w:hint="default" w:ascii="楷体" w:hAnsi="楷体" w:eastAsia="楷体"/>
                <w:sz w:val="18"/>
                <w:szCs w:val="18"/>
              </w:rPr>
            </w:pPr>
          </w:p>
        </w:tc>
        <w:tc>
          <w:tcPr>
            <w:tcW w:w="6236" w:type="dxa"/>
          </w:tcPr>
          <w:p w14:paraId="018325FB">
            <w:pPr>
              <w:spacing w:line="300" w:lineRule="exact"/>
              <w:ind w:firstLine="400" w:firstLineChars="200"/>
              <w:rPr>
                <w:rFonts w:ascii="楷体" w:hAnsi="楷体" w:eastAsia="楷体"/>
                <w:sz w:val="18"/>
                <w:szCs w:val="18"/>
              </w:rPr>
            </w:pPr>
            <w:r>
              <w:rPr>
                <w:rFonts w:hint="eastAsia" w:asciiTheme="minorEastAsia" w:hAnsiTheme="minorEastAsia" w:eastAsiaTheme="minorEastAsia" w:cstheme="minorEastAsia"/>
                <w:sz w:val="20"/>
              </w:rPr>
              <w:t>16.及时观察各润滑系统和油位情况，按周期加油。及时排除漏油现象。</w:t>
            </w:r>
          </w:p>
        </w:tc>
        <w:tc>
          <w:tcPr>
            <w:tcW w:w="6236" w:type="dxa"/>
            <w:vAlign w:val="center"/>
          </w:tcPr>
          <w:p w14:paraId="0D2F1B55">
            <w:pPr>
              <w:jc w:val="center"/>
              <w:rPr>
                <w:rFonts w:ascii="楷体" w:hAnsi="楷体" w:eastAsia="楷体"/>
                <w:sz w:val="18"/>
                <w:szCs w:val="18"/>
              </w:rPr>
            </w:pPr>
          </w:p>
        </w:tc>
        <w:tc>
          <w:tcPr>
            <w:tcW w:w="690" w:type="dxa"/>
            <w:vAlign w:val="center"/>
          </w:tcPr>
          <w:p w14:paraId="2E8F3C35">
            <w:pPr>
              <w:jc w:val="center"/>
              <w:rPr>
                <w:rFonts w:ascii="楷体" w:hAnsi="楷体" w:eastAsia="楷体"/>
                <w:sz w:val="18"/>
                <w:szCs w:val="18"/>
              </w:rPr>
            </w:pPr>
          </w:p>
        </w:tc>
        <w:tc>
          <w:tcPr>
            <w:tcW w:w="510" w:type="dxa"/>
            <w:vAlign w:val="center"/>
          </w:tcPr>
          <w:p w14:paraId="2091F2A6">
            <w:pPr>
              <w:jc w:val="center"/>
              <w:rPr>
                <w:rFonts w:ascii="楷体" w:hAnsi="楷体" w:eastAsia="楷体"/>
                <w:sz w:val="18"/>
                <w:szCs w:val="18"/>
              </w:rPr>
            </w:pPr>
          </w:p>
        </w:tc>
      </w:tr>
      <w:tr w14:paraId="0D139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0F3557C4">
            <w:pPr>
              <w:jc w:val="center"/>
              <w:rPr>
                <w:rFonts w:ascii="楷体" w:hAnsi="楷体" w:eastAsia="楷体"/>
                <w:sz w:val="18"/>
                <w:szCs w:val="18"/>
              </w:rPr>
            </w:pPr>
            <w:r>
              <w:rPr>
                <w:rFonts w:hint="eastAsia" w:ascii="楷体" w:hAnsi="楷体" w:eastAsia="楷体"/>
                <w:sz w:val="18"/>
                <w:szCs w:val="18"/>
              </w:rPr>
              <w:t>3</w:t>
            </w:r>
            <w:r>
              <w:rPr>
                <w:rFonts w:hint="eastAsia" w:ascii="楷体" w:hAnsi="楷体" w:eastAsia="楷体"/>
                <w:sz w:val="18"/>
                <w:szCs w:val="18"/>
                <w:lang w:val="en-US" w:eastAsia="zh-CN"/>
              </w:rPr>
              <w:t>5</w:t>
            </w:r>
          </w:p>
        </w:tc>
        <w:tc>
          <w:tcPr>
            <w:tcW w:w="1074" w:type="dxa"/>
            <w:vMerge w:val="continue"/>
            <w:vAlign w:val="center"/>
          </w:tcPr>
          <w:p w14:paraId="3F641BEB">
            <w:pPr>
              <w:pStyle w:val="41"/>
              <w:jc w:val="center"/>
              <w:rPr>
                <w:rFonts w:hint="default" w:ascii="楷体" w:hAnsi="楷体" w:eastAsia="楷体"/>
                <w:sz w:val="18"/>
                <w:szCs w:val="18"/>
              </w:rPr>
            </w:pPr>
          </w:p>
        </w:tc>
        <w:tc>
          <w:tcPr>
            <w:tcW w:w="6236" w:type="dxa"/>
          </w:tcPr>
          <w:p w14:paraId="398E3587">
            <w:pPr>
              <w:spacing w:line="300" w:lineRule="exact"/>
              <w:ind w:firstLine="400" w:firstLineChars="200"/>
              <w:rPr>
                <w:rFonts w:ascii="楷体" w:hAnsi="楷体" w:eastAsiaTheme="minorEastAsia"/>
                <w:sz w:val="18"/>
                <w:szCs w:val="18"/>
              </w:rPr>
            </w:pPr>
            <w:r>
              <w:rPr>
                <w:rFonts w:hint="eastAsia" w:asciiTheme="minorEastAsia" w:hAnsiTheme="minorEastAsia" w:eastAsiaTheme="minorEastAsia" w:cstheme="minorEastAsia"/>
                <w:sz w:val="20"/>
              </w:rPr>
              <w:t>17.电梯维护保养的具体时限：中标供应商须严格遵守国家相关规定，严禁将中标承保的电梯对外转包，严格依照TSG规范文件等最新相关标准开展保养工作。每次完成半月、季度、半年、年度保养项目后，需填写对应保养记录表，由保养人员及相关负责人签字确认。所有保养工作及记录均应符合电梯规范管理及相关技术要求。</w:t>
            </w:r>
          </w:p>
        </w:tc>
        <w:tc>
          <w:tcPr>
            <w:tcW w:w="6236" w:type="dxa"/>
            <w:vAlign w:val="center"/>
          </w:tcPr>
          <w:p w14:paraId="07E04516">
            <w:pPr>
              <w:jc w:val="center"/>
              <w:rPr>
                <w:rFonts w:ascii="楷体" w:hAnsi="楷体" w:eastAsia="楷体"/>
                <w:sz w:val="18"/>
                <w:szCs w:val="18"/>
              </w:rPr>
            </w:pPr>
          </w:p>
        </w:tc>
        <w:tc>
          <w:tcPr>
            <w:tcW w:w="690" w:type="dxa"/>
            <w:vAlign w:val="center"/>
          </w:tcPr>
          <w:p w14:paraId="303F1695">
            <w:pPr>
              <w:jc w:val="center"/>
              <w:rPr>
                <w:rFonts w:ascii="楷体" w:hAnsi="楷体" w:eastAsia="楷体"/>
                <w:sz w:val="18"/>
                <w:szCs w:val="18"/>
              </w:rPr>
            </w:pPr>
          </w:p>
        </w:tc>
        <w:tc>
          <w:tcPr>
            <w:tcW w:w="510" w:type="dxa"/>
            <w:vAlign w:val="center"/>
          </w:tcPr>
          <w:p w14:paraId="79F7AE85">
            <w:pPr>
              <w:jc w:val="center"/>
              <w:rPr>
                <w:rFonts w:ascii="楷体" w:hAnsi="楷体" w:eastAsia="楷体"/>
                <w:sz w:val="18"/>
                <w:szCs w:val="18"/>
              </w:rPr>
            </w:pPr>
          </w:p>
        </w:tc>
      </w:tr>
      <w:tr w14:paraId="43E2F4CB">
        <w:tblPrEx>
          <w:tblCellMar>
            <w:top w:w="0" w:type="dxa"/>
            <w:left w:w="108" w:type="dxa"/>
            <w:bottom w:w="0" w:type="dxa"/>
            <w:right w:w="108" w:type="dxa"/>
          </w:tblCellMar>
        </w:tblPrEx>
        <w:tc>
          <w:tcPr>
            <w:tcW w:w="446" w:type="dxa"/>
            <w:vAlign w:val="center"/>
          </w:tcPr>
          <w:p w14:paraId="37071382">
            <w:pPr>
              <w:jc w:val="center"/>
              <w:rPr>
                <w:rFonts w:ascii="楷体" w:hAnsi="楷体" w:eastAsia="楷体"/>
                <w:sz w:val="18"/>
                <w:szCs w:val="18"/>
              </w:rPr>
            </w:pPr>
            <w:r>
              <w:rPr>
                <w:rFonts w:hint="eastAsia" w:ascii="楷体" w:hAnsi="楷体" w:eastAsia="楷体"/>
                <w:sz w:val="18"/>
                <w:szCs w:val="18"/>
              </w:rPr>
              <w:t>3</w:t>
            </w:r>
            <w:r>
              <w:rPr>
                <w:rFonts w:hint="eastAsia" w:ascii="楷体" w:hAnsi="楷体" w:eastAsia="楷体"/>
                <w:sz w:val="18"/>
                <w:szCs w:val="18"/>
                <w:lang w:val="en-US" w:eastAsia="zh-CN"/>
              </w:rPr>
              <w:t>6</w:t>
            </w:r>
          </w:p>
        </w:tc>
        <w:tc>
          <w:tcPr>
            <w:tcW w:w="1074" w:type="dxa"/>
            <w:vMerge w:val="restart"/>
            <w:vAlign w:val="center"/>
          </w:tcPr>
          <w:p w14:paraId="492B01A3">
            <w:pPr>
              <w:pStyle w:val="41"/>
              <w:jc w:val="center"/>
              <w:rPr>
                <w:rFonts w:hint="default" w:ascii="楷体" w:hAnsi="楷体" w:eastAsia="楷体"/>
                <w:sz w:val="18"/>
                <w:szCs w:val="18"/>
              </w:rPr>
            </w:pPr>
            <w:r>
              <w:rPr>
                <w:rFonts w:ascii="楷体" w:hAnsi="楷体" w:eastAsia="楷体"/>
                <w:sz w:val="18"/>
                <w:szCs w:val="18"/>
              </w:rPr>
              <w:t>人员服务要求</w:t>
            </w:r>
          </w:p>
        </w:tc>
        <w:tc>
          <w:tcPr>
            <w:tcW w:w="6236" w:type="dxa"/>
          </w:tcPr>
          <w:p w14:paraId="17E8F7ED">
            <w:pPr>
              <w:spacing w:line="300" w:lineRule="exact"/>
              <w:ind w:firstLine="400" w:firstLineChars="200"/>
              <w:rPr>
                <w:rFonts w:ascii="楷体" w:hAnsi="楷体" w:eastAsia="楷体"/>
                <w:sz w:val="18"/>
                <w:szCs w:val="18"/>
              </w:rPr>
            </w:pPr>
            <w:r>
              <w:rPr>
                <w:rFonts w:hint="eastAsia" w:asciiTheme="minorEastAsia" w:hAnsiTheme="minorEastAsia" w:eastAsiaTheme="minorEastAsia" w:cstheme="minorEastAsia"/>
                <w:sz w:val="20"/>
              </w:rPr>
              <w:t>1.资质与规范要求：中标供应商人员须持有市场监督管理局颁发的电梯维修T证。作业时必须穿着统一工作服、佩戴工作证。投标供应商需结合项目实际需求，制定涵盖日常管理、技能提升的培训方案，以及针对电梯困人、设备故障等各类突发情况的应急预案。同时，严格遵守采购人的规章制度及消防条例，每次维保结束离开校园前，须向学院相关人员详细说明维修保养完成情况。</w:t>
            </w:r>
          </w:p>
        </w:tc>
        <w:tc>
          <w:tcPr>
            <w:tcW w:w="6236" w:type="dxa"/>
            <w:vAlign w:val="center"/>
          </w:tcPr>
          <w:p w14:paraId="54B35FCE">
            <w:pPr>
              <w:jc w:val="center"/>
              <w:rPr>
                <w:rFonts w:ascii="楷体" w:hAnsi="楷体" w:eastAsia="楷体"/>
                <w:sz w:val="18"/>
                <w:szCs w:val="18"/>
              </w:rPr>
            </w:pPr>
          </w:p>
        </w:tc>
        <w:tc>
          <w:tcPr>
            <w:tcW w:w="690" w:type="dxa"/>
            <w:vAlign w:val="center"/>
          </w:tcPr>
          <w:p w14:paraId="63A5F9C8">
            <w:pPr>
              <w:jc w:val="center"/>
              <w:rPr>
                <w:rFonts w:ascii="楷体" w:hAnsi="楷体" w:eastAsia="楷体"/>
                <w:sz w:val="18"/>
                <w:szCs w:val="18"/>
              </w:rPr>
            </w:pPr>
          </w:p>
        </w:tc>
        <w:tc>
          <w:tcPr>
            <w:tcW w:w="510" w:type="dxa"/>
            <w:vAlign w:val="center"/>
          </w:tcPr>
          <w:p w14:paraId="4A2B0071">
            <w:pPr>
              <w:jc w:val="center"/>
              <w:rPr>
                <w:rFonts w:ascii="楷体" w:hAnsi="楷体" w:eastAsia="楷体"/>
                <w:sz w:val="18"/>
                <w:szCs w:val="18"/>
              </w:rPr>
            </w:pPr>
          </w:p>
        </w:tc>
      </w:tr>
      <w:tr w14:paraId="19529D03">
        <w:tblPrEx>
          <w:tblCellMar>
            <w:top w:w="0" w:type="dxa"/>
            <w:left w:w="108" w:type="dxa"/>
            <w:bottom w:w="0" w:type="dxa"/>
            <w:right w:w="108" w:type="dxa"/>
          </w:tblCellMar>
        </w:tblPrEx>
        <w:tc>
          <w:tcPr>
            <w:tcW w:w="446" w:type="dxa"/>
            <w:vAlign w:val="center"/>
          </w:tcPr>
          <w:p w14:paraId="0F9E3E69">
            <w:pPr>
              <w:jc w:val="center"/>
              <w:rPr>
                <w:rFonts w:ascii="楷体" w:hAnsi="楷体" w:eastAsia="楷体"/>
                <w:sz w:val="18"/>
                <w:szCs w:val="18"/>
              </w:rPr>
            </w:pPr>
            <w:r>
              <w:rPr>
                <w:rFonts w:hint="eastAsia" w:ascii="楷体" w:hAnsi="楷体" w:eastAsia="楷体"/>
                <w:sz w:val="18"/>
                <w:szCs w:val="18"/>
              </w:rPr>
              <w:t>3</w:t>
            </w:r>
            <w:r>
              <w:rPr>
                <w:rFonts w:hint="eastAsia" w:ascii="楷体" w:hAnsi="楷体" w:eastAsia="楷体"/>
                <w:sz w:val="18"/>
                <w:szCs w:val="18"/>
                <w:lang w:val="en-US" w:eastAsia="zh-CN"/>
              </w:rPr>
              <w:t>7</w:t>
            </w:r>
          </w:p>
        </w:tc>
        <w:tc>
          <w:tcPr>
            <w:tcW w:w="1074" w:type="dxa"/>
            <w:vMerge w:val="continue"/>
            <w:vAlign w:val="center"/>
          </w:tcPr>
          <w:p w14:paraId="31A2F2EF">
            <w:pPr>
              <w:pStyle w:val="41"/>
              <w:jc w:val="center"/>
              <w:rPr>
                <w:rFonts w:hint="default" w:ascii="楷体" w:hAnsi="楷体" w:eastAsia="楷体"/>
                <w:sz w:val="18"/>
                <w:szCs w:val="18"/>
              </w:rPr>
            </w:pPr>
          </w:p>
        </w:tc>
        <w:tc>
          <w:tcPr>
            <w:tcW w:w="6236" w:type="dxa"/>
          </w:tcPr>
          <w:p w14:paraId="4A35C7D4">
            <w:pPr>
              <w:spacing w:line="300" w:lineRule="exact"/>
              <w:ind w:firstLine="400" w:firstLineChars="200"/>
              <w:rPr>
                <w:rFonts w:ascii="楷体" w:hAnsi="楷体" w:eastAsia="楷体"/>
                <w:sz w:val="18"/>
                <w:szCs w:val="18"/>
              </w:rPr>
            </w:pPr>
            <w:r>
              <w:rPr>
                <w:rFonts w:hint="eastAsia" w:asciiTheme="minorEastAsia" w:hAnsiTheme="minorEastAsia" w:eastAsiaTheme="minorEastAsia" w:cstheme="minorEastAsia"/>
                <w:sz w:val="20"/>
              </w:rPr>
              <w:t>2.记录与监管要求：中标供应商须建立完善的电梯维保登统计记录体系，包括维保电梯明细表、保养记录本、维修记录本、年检记录本、购买保险记录本等，确保记录内容详实准确，并经监管部门确认。自觉接受采购人的检查监督，中标供应商确保员工全部持证上岗，（投标时需提供承诺函）。</w:t>
            </w:r>
          </w:p>
        </w:tc>
        <w:tc>
          <w:tcPr>
            <w:tcW w:w="6236" w:type="dxa"/>
            <w:vAlign w:val="center"/>
          </w:tcPr>
          <w:p w14:paraId="7A73E08B">
            <w:pPr>
              <w:jc w:val="center"/>
              <w:rPr>
                <w:rFonts w:ascii="楷体" w:hAnsi="楷体" w:eastAsia="楷体"/>
                <w:sz w:val="18"/>
                <w:szCs w:val="18"/>
              </w:rPr>
            </w:pPr>
          </w:p>
        </w:tc>
        <w:tc>
          <w:tcPr>
            <w:tcW w:w="690" w:type="dxa"/>
            <w:vAlign w:val="center"/>
          </w:tcPr>
          <w:p w14:paraId="33C3FC95">
            <w:pPr>
              <w:jc w:val="center"/>
              <w:rPr>
                <w:rFonts w:ascii="楷体" w:hAnsi="楷体" w:eastAsia="楷体"/>
                <w:sz w:val="18"/>
                <w:szCs w:val="18"/>
              </w:rPr>
            </w:pPr>
          </w:p>
        </w:tc>
        <w:tc>
          <w:tcPr>
            <w:tcW w:w="510" w:type="dxa"/>
            <w:vAlign w:val="center"/>
          </w:tcPr>
          <w:p w14:paraId="005CAF44">
            <w:pPr>
              <w:jc w:val="center"/>
              <w:rPr>
                <w:rFonts w:ascii="楷体" w:hAnsi="楷体" w:eastAsia="楷体"/>
                <w:sz w:val="18"/>
                <w:szCs w:val="18"/>
              </w:rPr>
            </w:pPr>
          </w:p>
        </w:tc>
      </w:tr>
      <w:tr w14:paraId="08E54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574D69E3">
            <w:pPr>
              <w:jc w:val="center"/>
              <w:rPr>
                <w:rFonts w:ascii="楷体" w:hAnsi="楷体" w:eastAsia="楷体"/>
                <w:sz w:val="18"/>
                <w:szCs w:val="18"/>
              </w:rPr>
            </w:pPr>
            <w:r>
              <w:rPr>
                <w:rFonts w:hint="eastAsia" w:ascii="楷体" w:hAnsi="楷体" w:eastAsia="楷体"/>
                <w:sz w:val="18"/>
                <w:szCs w:val="18"/>
              </w:rPr>
              <w:t>3</w:t>
            </w:r>
            <w:r>
              <w:rPr>
                <w:rFonts w:hint="eastAsia" w:ascii="楷体" w:hAnsi="楷体" w:eastAsia="楷体"/>
                <w:sz w:val="18"/>
                <w:szCs w:val="18"/>
                <w:lang w:val="en-US" w:eastAsia="zh-CN"/>
              </w:rPr>
              <w:t>8</w:t>
            </w:r>
          </w:p>
        </w:tc>
        <w:tc>
          <w:tcPr>
            <w:tcW w:w="1074" w:type="dxa"/>
            <w:vMerge w:val="continue"/>
            <w:vAlign w:val="center"/>
          </w:tcPr>
          <w:p w14:paraId="3898CF37">
            <w:pPr>
              <w:pStyle w:val="41"/>
              <w:jc w:val="center"/>
              <w:rPr>
                <w:rFonts w:hint="default" w:ascii="楷体" w:hAnsi="楷体" w:eastAsia="楷体"/>
                <w:sz w:val="18"/>
                <w:szCs w:val="18"/>
              </w:rPr>
            </w:pPr>
          </w:p>
        </w:tc>
        <w:tc>
          <w:tcPr>
            <w:tcW w:w="6236" w:type="dxa"/>
          </w:tcPr>
          <w:p w14:paraId="3AED2E80">
            <w:pPr>
              <w:spacing w:line="300" w:lineRule="exact"/>
              <w:ind w:firstLine="400" w:firstLineChars="200"/>
              <w:rPr>
                <w:rFonts w:ascii="楷体" w:hAnsi="楷体" w:eastAsia="楷体"/>
                <w:sz w:val="18"/>
                <w:szCs w:val="18"/>
              </w:rPr>
            </w:pPr>
            <w:r>
              <w:rPr>
                <w:rFonts w:hint="eastAsia" w:asciiTheme="minorEastAsia" w:hAnsiTheme="minorEastAsia" w:eastAsiaTheme="minorEastAsia" w:cstheme="minorEastAsia"/>
                <w:sz w:val="20"/>
              </w:rPr>
              <w:t>3.人员管理要求：中标供应商负责员工的工资、保险及福利待遇。</w:t>
            </w:r>
          </w:p>
        </w:tc>
        <w:tc>
          <w:tcPr>
            <w:tcW w:w="6236" w:type="dxa"/>
            <w:vAlign w:val="center"/>
          </w:tcPr>
          <w:p w14:paraId="4FDE901F">
            <w:pPr>
              <w:jc w:val="center"/>
              <w:rPr>
                <w:rFonts w:ascii="楷体" w:hAnsi="楷体" w:eastAsia="楷体"/>
                <w:sz w:val="18"/>
                <w:szCs w:val="18"/>
              </w:rPr>
            </w:pPr>
          </w:p>
        </w:tc>
        <w:tc>
          <w:tcPr>
            <w:tcW w:w="690" w:type="dxa"/>
            <w:vAlign w:val="center"/>
          </w:tcPr>
          <w:p w14:paraId="1F35A100">
            <w:pPr>
              <w:jc w:val="center"/>
              <w:rPr>
                <w:rFonts w:ascii="楷体" w:hAnsi="楷体" w:eastAsia="楷体"/>
                <w:sz w:val="18"/>
                <w:szCs w:val="18"/>
              </w:rPr>
            </w:pPr>
          </w:p>
        </w:tc>
        <w:tc>
          <w:tcPr>
            <w:tcW w:w="510" w:type="dxa"/>
            <w:vAlign w:val="center"/>
          </w:tcPr>
          <w:p w14:paraId="1E8D7716">
            <w:pPr>
              <w:jc w:val="center"/>
              <w:rPr>
                <w:rFonts w:ascii="楷体" w:hAnsi="楷体" w:eastAsia="楷体"/>
                <w:sz w:val="18"/>
                <w:szCs w:val="18"/>
              </w:rPr>
            </w:pPr>
          </w:p>
        </w:tc>
      </w:tr>
      <w:tr w14:paraId="664F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6D96AB1A">
            <w:pPr>
              <w:jc w:val="center"/>
              <w:rPr>
                <w:rFonts w:ascii="楷体" w:hAnsi="楷体" w:eastAsia="楷体"/>
                <w:sz w:val="18"/>
                <w:szCs w:val="18"/>
              </w:rPr>
            </w:pPr>
            <w:r>
              <w:rPr>
                <w:rFonts w:hint="eastAsia" w:ascii="楷体" w:hAnsi="楷体" w:eastAsia="楷体"/>
                <w:sz w:val="18"/>
                <w:szCs w:val="18"/>
                <w:lang w:val="en-US" w:eastAsia="zh-CN"/>
              </w:rPr>
              <w:t>39</w:t>
            </w:r>
          </w:p>
        </w:tc>
        <w:tc>
          <w:tcPr>
            <w:tcW w:w="1074" w:type="dxa"/>
            <w:vMerge w:val="continue"/>
            <w:vAlign w:val="center"/>
          </w:tcPr>
          <w:p w14:paraId="58FAF41D">
            <w:pPr>
              <w:pStyle w:val="41"/>
              <w:jc w:val="center"/>
              <w:rPr>
                <w:rFonts w:hint="default" w:ascii="楷体" w:hAnsi="楷体" w:eastAsia="楷体"/>
                <w:sz w:val="18"/>
                <w:szCs w:val="18"/>
              </w:rPr>
            </w:pPr>
          </w:p>
        </w:tc>
        <w:tc>
          <w:tcPr>
            <w:tcW w:w="6236" w:type="dxa"/>
          </w:tcPr>
          <w:p w14:paraId="0D214BA2">
            <w:pPr>
              <w:spacing w:line="300" w:lineRule="exact"/>
              <w:ind w:firstLine="400" w:firstLineChars="200"/>
              <w:rPr>
                <w:rFonts w:ascii="楷体" w:hAnsi="楷体" w:eastAsia="楷体"/>
                <w:sz w:val="18"/>
                <w:szCs w:val="18"/>
              </w:rPr>
            </w:pPr>
            <w:r>
              <w:rPr>
                <w:rFonts w:hint="eastAsia" w:asciiTheme="minorEastAsia" w:hAnsiTheme="minorEastAsia" w:eastAsiaTheme="minorEastAsia" w:cstheme="minorEastAsia"/>
                <w:sz w:val="20"/>
              </w:rPr>
              <w:t>4.安全责任要求：中标供应商人员在作业过程中和校园范围内发生的一切事故责任，均由中标供应商承担。维保期间，若发现问题需及时向采购人相关部门反馈，并同步提供切实可行的解决方案。</w:t>
            </w:r>
          </w:p>
        </w:tc>
        <w:tc>
          <w:tcPr>
            <w:tcW w:w="6236" w:type="dxa"/>
            <w:vAlign w:val="center"/>
          </w:tcPr>
          <w:p w14:paraId="57AFC31F">
            <w:pPr>
              <w:jc w:val="center"/>
              <w:rPr>
                <w:rFonts w:ascii="楷体" w:hAnsi="楷体" w:eastAsia="楷体"/>
                <w:sz w:val="18"/>
                <w:szCs w:val="18"/>
              </w:rPr>
            </w:pPr>
          </w:p>
        </w:tc>
        <w:tc>
          <w:tcPr>
            <w:tcW w:w="690" w:type="dxa"/>
            <w:vAlign w:val="center"/>
          </w:tcPr>
          <w:p w14:paraId="5C3F3341">
            <w:pPr>
              <w:jc w:val="center"/>
              <w:rPr>
                <w:rFonts w:ascii="楷体" w:hAnsi="楷体" w:eastAsia="楷体"/>
                <w:sz w:val="18"/>
                <w:szCs w:val="18"/>
              </w:rPr>
            </w:pPr>
          </w:p>
        </w:tc>
        <w:tc>
          <w:tcPr>
            <w:tcW w:w="510" w:type="dxa"/>
            <w:vAlign w:val="center"/>
          </w:tcPr>
          <w:p w14:paraId="3D63032B">
            <w:pPr>
              <w:jc w:val="center"/>
              <w:rPr>
                <w:rFonts w:ascii="楷体" w:hAnsi="楷体" w:eastAsia="楷体"/>
                <w:sz w:val="18"/>
                <w:szCs w:val="18"/>
              </w:rPr>
            </w:pPr>
          </w:p>
        </w:tc>
      </w:tr>
      <w:tr w14:paraId="5E73E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7CF85CEB">
            <w:pPr>
              <w:jc w:val="center"/>
              <w:rPr>
                <w:rFonts w:ascii="楷体" w:hAnsi="楷体" w:eastAsia="楷体"/>
                <w:sz w:val="18"/>
                <w:szCs w:val="18"/>
              </w:rPr>
            </w:pPr>
            <w:r>
              <w:rPr>
                <w:rFonts w:hint="eastAsia" w:ascii="楷体" w:hAnsi="楷体" w:eastAsia="楷体"/>
                <w:sz w:val="18"/>
                <w:szCs w:val="18"/>
              </w:rPr>
              <w:t>4</w:t>
            </w:r>
            <w:r>
              <w:rPr>
                <w:rFonts w:hint="eastAsia" w:ascii="楷体" w:hAnsi="楷体" w:eastAsia="楷体"/>
                <w:sz w:val="18"/>
                <w:szCs w:val="18"/>
                <w:lang w:val="en-US" w:eastAsia="zh-CN"/>
              </w:rPr>
              <w:t>0</w:t>
            </w:r>
          </w:p>
        </w:tc>
        <w:tc>
          <w:tcPr>
            <w:tcW w:w="1074" w:type="dxa"/>
            <w:vMerge w:val="continue"/>
            <w:vAlign w:val="center"/>
          </w:tcPr>
          <w:p w14:paraId="2D0F9EFB">
            <w:pPr>
              <w:pStyle w:val="41"/>
              <w:jc w:val="center"/>
              <w:rPr>
                <w:rFonts w:hint="default" w:ascii="楷体" w:hAnsi="楷体" w:eastAsia="楷体"/>
                <w:sz w:val="18"/>
                <w:szCs w:val="18"/>
              </w:rPr>
            </w:pPr>
          </w:p>
        </w:tc>
        <w:tc>
          <w:tcPr>
            <w:tcW w:w="6236" w:type="dxa"/>
          </w:tcPr>
          <w:p w14:paraId="582727C8">
            <w:pPr>
              <w:spacing w:line="300" w:lineRule="exact"/>
              <w:ind w:firstLine="400" w:firstLineChars="200"/>
              <w:rPr>
                <w:rFonts w:ascii="楷体" w:hAnsi="楷体" w:eastAsia="楷体"/>
                <w:sz w:val="18"/>
                <w:szCs w:val="18"/>
              </w:rPr>
            </w:pPr>
            <w:r>
              <w:rPr>
                <w:rFonts w:hint="eastAsia" w:asciiTheme="minorEastAsia" w:hAnsiTheme="minorEastAsia" w:eastAsiaTheme="minorEastAsia" w:cstheme="minorEastAsia"/>
                <w:sz w:val="20"/>
              </w:rPr>
              <w:t>5.制度与服务要求：投标供应商需针对本项目制定完善的管理规章制度，涵盖企业内部岗位责任制、维护标准、人员考核录用淘汰机制、关系协调办法、服务规范、量化管理标准及培训制度等。若因电梯故障导致人员伤亡、设备损坏或重大经济损失，中标供应商承担全部责任及赔偿（投标时需提供承诺函）。在服务期间，有下列情况之一者，采购人有权单方面解除合同：（1）中标供应商人员须服从并配合采购人的电梯维保工作安排，若出现拒绝作业、无故拖延情况；（2）电梯故障困人时，未在约定时间内到达现场或未成功解困。</w:t>
            </w:r>
          </w:p>
        </w:tc>
        <w:tc>
          <w:tcPr>
            <w:tcW w:w="6236" w:type="dxa"/>
            <w:vAlign w:val="center"/>
          </w:tcPr>
          <w:p w14:paraId="27CD4726">
            <w:pPr>
              <w:jc w:val="center"/>
              <w:rPr>
                <w:rFonts w:ascii="楷体" w:hAnsi="楷体" w:eastAsia="楷体"/>
                <w:sz w:val="18"/>
                <w:szCs w:val="18"/>
              </w:rPr>
            </w:pPr>
          </w:p>
        </w:tc>
        <w:tc>
          <w:tcPr>
            <w:tcW w:w="690" w:type="dxa"/>
            <w:vAlign w:val="center"/>
          </w:tcPr>
          <w:p w14:paraId="0CBCD6E5">
            <w:pPr>
              <w:jc w:val="center"/>
              <w:rPr>
                <w:rFonts w:ascii="楷体" w:hAnsi="楷体" w:eastAsia="楷体"/>
                <w:sz w:val="18"/>
                <w:szCs w:val="18"/>
              </w:rPr>
            </w:pPr>
          </w:p>
        </w:tc>
        <w:tc>
          <w:tcPr>
            <w:tcW w:w="510" w:type="dxa"/>
            <w:vAlign w:val="center"/>
          </w:tcPr>
          <w:p w14:paraId="52D8E707">
            <w:pPr>
              <w:jc w:val="center"/>
              <w:rPr>
                <w:rFonts w:ascii="楷体" w:hAnsi="楷体" w:eastAsia="楷体"/>
                <w:sz w:val="18"/>
                <w:szCs w:val="18"/>
              </w:rPr>
            </w:pPr>
          </w:p>
        </w:tc>
      </w:tr>
      <w:tr w14:paraId="5A3B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2BE5B89E">
            <w:pPr>
              <w:jc w:val="center"/>
              <w:rPr>
                <w:rFonts w:ascii="楷体" w:hAnsi="楷体" w:eastAsia="楷体"/>
                <w:sz w:val="18"/>
                <w:szCs w:val="18"/>
              </w:rPr>
            </w:pPr>
            <w:r>
              <w:rPr>
                <w:rFonts w:hint="eastAsia" w:ascii="楷体" w:hAnsi="楷体" w:eastAsia="楷体"/>
                <w:sz w:val="18"/>
                <w:szCs w:val="18"/>
              </w:rPr>
              <w:t>4</w:t>
            </w:r>
            <w:r>
              <w:rPr>
                <w:rFonts w:hint="eastAsia" w:ascii="楷体" w:hAnsi="楷体" w:eastAsia="楷体"/>
                <w:sz w:val="18"/>
                <w:szCs w:val="18"/>
                <w:lang w:val="en-US" w:eastAsia="zh-CN"/>
              </w:rPr>
              <w:t>1</w:t>
            </w:r>
          </w:p>
        </w:tc>
        <w:tc>
          <w:tcPr>
            <w:tcW w:w="1074" w:type="dxa"/>
            <w:vMerge w:val="continue"/>
            <w:vAlign w:val="center"/>
          </w:tcPr>
          <w:p w14:paraId="7CBD09E0">
            <w:pPr>
              <w:pStyle w:val="41"/>
              <w:jc w:val="center"/>
              <w:rPr>
                <w:rFonts w:hint="default" w:ascii="楷体" w:hAnsi="楷体" w:eastAsia="楷体"/>
                <w:sz w:val="18"/>
                <w:szCs w:val="18"/>
              </w:rPr>
            </w:pPr>
          </w:p>
        </w:tc>
        <w:tc>
          <w:tcPr>
            <w:tcW w:w="6236" w:type="dxa"/>
          </w:tcPr>
          <w:p w14:paraId="170440E4">
            <w:pPr>
              <w:spacing w:line="300" w:lineRule="exact"/>
              <w:ind w:firstLine="400" w:firstLineChars="200"/>
              <w:rPr>
                <w:rFonts w:ascii="楷体" w:hAnsi="楷体" w:eastAsia="楷体"/>
                <w:sz w:val="18"/>
                <w:szCs w:val="18"/>
              </w:rPr>
            </w:pPr>
            <w:r>
              <w:rPr>
                <w:rFonts w:hint="eastAsia" w:asciiTheme="minorEastAsia" w:hAnsiTheme="minorEastAsia" w:eastAsiaTheme="minorEastAsia" w:cstheme="minorEastAsia"/>
                <w:sz w:val="20"/>
              </w:rPr>
              <w:t>6.履约与应急要求：中标供应商签订服务合同后，须严格履行投标承诺的各项服务内容，违约行为按合同约定处理。</w:t>
            </w:r>
          </w:p>
        </w:tc>
        <w:tc>
          <w:tcPr>
            <w:tcW w:w="6236" w:type="dxa"/>
            <w:vAlign w:val="center"/>
          </w:tcPr>
          <w:p w14:paraId="22817CBC">
            <w:pPr>
              <w:jc w:val="center"/>
              <w:rPr>
                <w:rFonts w:ascii="楷体" w:hAnsi="楷体" w:eastAsia="楷体"/>
                <w:sz w:val="18"/>
                <w:szCs w:val="18"/>
              </w:rPr>
            </w:pPr>
          </w:p>
        </w:tc>
        <w:tc>
          <w:tcPr>
            <w:tcW w:w="690" w:type="dxa"/>
            <w:vAlign w:val="center"/>
          </w:tcPr>
          <w:p w14:paraId="6DF31D8D">
            <w:pPr>
              <w:jc w:val="center"/>
              <w:rPr>
                <w:rFonts w:ascii="楷体" w:hAnsi="楷体" w:eastAsia="楷体"/>
                <w:sz w:val="18"/>
                <w:szCs w:val="18"/>
              </w:rPr>
            </w:pPr>
          </w:p>
        </w:tc>
        <w:tc>
          <w:tcPr>
            <w:tcW w:w="510" w:type="dxa"/>
            <w:vAlign w:val="center"/>
          </w:tcPr>
          <w:p w14:paraId="211A9674">
            <w:pPr>
              <w:jc w:val="center"/>
              <w:rPr>
                <w:rFonts w:ascii="楷体" w:hAnsi="楷体" w:eastAsia="楷体"/>
                <w:sz w:val="18"/>
                <w:szCs w:val="18"/>
              </w:rPr>
            </w:pPr>
          </w:p>
        </w:tc>
      </w:tr>
      <w:tr w14:paraId="7BC1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647411F4">
            <w:pPr>
              <w:jc w:val="center"/>
              <w:rPr>
                <w:rFonts w:ascii="楷体" w:hAnsi="楷体" w:eastAsia="楷体"/>
                <w:sz w:val="18"/>
                <w:szCs w:val="18"/>
              </w:rPr>
            </w:pPr>
            <w:r>
              <w:rPr>
                <w:rFonts w:hint="eastAsia" w:ascii="楷体" w:hAnsi="楷体" w:eastAsia="楷体"/>
                <w:sz w:val="18"/>
                <w:szCs w:val="18"/>
              </w:rPr>
              <w:t>4</w:t>
            </w:r>
            <w:r>
              <w:rPr>
                <w:rFonts w:hint="eastAsia" w:ascii="楷体" w:hAnsi="楷体" w:eastAsia="楷体"/>
                <w:sz w:val="18"/>
                <w:szCs w:val="18"/>
                <w:lang w:val="en-US" w:eastAsia="zh-CN"/>
              </w:rPr>
              <w:t>2</w:t>
            </w:r>
          </w:p>
        </w:tc>
        <w:tc>
          <w:tcPr>
            <w:tcW w:w="1074" w:type="dxa"/>
            <w:vMerge w:val="restart"/>
            <w:vAlign w:val="center"/>
          </w:tcPr>
          <w:p w14:paraId="35505590">
            <w:pPr>
              <w:pStyle w:val="41"/>
              <w:jc w:val="center"/>
              <w:rPr>
                <w:rFonts w:hint="default" w:ascii="楷体" w:hAnsi="楷体" w:eastAsia="楷体"/>
                <w:sz w:val="18"/>
                <w:szCs w:val="18"/>
              </w:rPr>
            </w:pPr>
            <w:r>
              <w:rPr>
                <w:rFonts w:ascii="楷体" w:hAnsi="楷体" w:eastAsia="楷体"/>
                <w:sz w:val="18"/>
                <w:szCs w:val="18"/>
              </w:rPr>
              <w:t>服务措施</w:t>
            </w:r>
          </w:p>
        </w:tc>
        <w:tc>
          <w:tcPr>
            <w:tcW w:w="6236" w:type="dxa"/>
          </w:tcPr>
          <w:p w14:paraId="5AECE5D9">
            <w:pPr>
              <w:spacing w:line="300" w:lineRule="exact"/>
              <w:ind w:firstLine="400" w:firstLineChars="200"/>
              <w:rPr>
                <w:rFonts w:ascii="楷体" w:hAnsi="楷体" w:eastAsia="楷体"/>
                <w:sz w:val="18"/>
                <w:szCs w:val="18"/>
              </w:rPr>
            </w:pPr>
            <w:r>
              <w:rPr>
                <w:rFonts w:hint="eastAsia" w:asciiTheme="minorEastAsia" w:hAnsiTheme="minorEastAsia" w:eastAsiaTheme="minorEastAsia" w:cstheme="minorEastAsia"/>
                <w:sz w:val="20"/>
              </w:rPr>
              <w:t>1.在校园电梯维保项目中，对于发现故障或设备隐患的响应及处理措施如下：（1）后台实时监控电梯运行状态，一旦发现故障或设备隐患，立即启动应急预案。（2）确保维保人员能够在第一时间到达现场，进行故障排查和修复。（3）对于一般故障，应在最短时间内解决；对于重大故障，应及时通知采购人，并制定合理的修复计划。（4）在故障处理过程中，保持与采购人的沟通，及时反馈处理进度。</w:t>
            </w:r>
          </w:p>
        </w:tc>
        <w:tc>
          <w:tcPr>
            <w:tcW w:w="6236" w:type="dxa"/>
            <w:vAlign w:val="center"/>
          </w:tcPr>
          <w:p w14:paraId="4F87AD08">
            <w:pPr>
              <w:jc w:val="center"/>
              <w:rPr>
                <w:rFonts w:ascii="楷体" w:hAnsi="楷体" w:eastAsia="楷体"/>
                <w:sz w:val="18"/>
                <w:szCs w:val="18"/>
              </w:rPr>
            </w:pPr>
          </w:p>
        </w:tc>
        <w:tc>
          <w:tcPr>
            <w:tcW w:w="690" w:type="dxa"/>
            <w:vAlign w:val="center"/>
          </w:tcPr>
          <w:p w14:paraId="131901FC">
            <w:pPr>
              <w:jc w:val="center"/>
              <w:rPr>
                <w:rFonts w:ascii="楷体" w:hAnsi="楷体" w:eastAsia="楷体"/>
                <w:sz w:val="18"/>
                <w:szCs w:val="18"/>
              </w:rPr>
            </w:pPr>
          </w:p>
        </w:tc>
        <w:tc>
          <w:tcPr>
            <w:tcW w:w="510" w:type="dxa"/>
            <w:vAlign w:val="center"/>
          </w:tcPr>
          <w:p w14:paraId="676DA683">
            <w:pPr>
              <w:jc w:val="center"/>
              <w:rPr>
                <w:rFonts w:ascii="楷体" w:hAnsi="楷体" w:eastAsia="楷体"/>
                <w:sz w:val="18"/>
                <w:szCs w:val="18"/>
              </w:rPr>
            </w:pPr>
          </w:p>
        </w:tc>
      </w:tr>
      <w:tr w14:paraId="36FB0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60B88589">
            <w:pPr>
              <w:jc w:val="center"/>
              <w:rPr>
                <w:rFonts w:ascii="楷体" w:hAnsi="楷体" w:eastAsia="楷体"/>
                <w:sz w:val="18"/>
                <w:szCs w:val="18"/>
              </w:rPr>
            </w:pPr>
            <w:r>
              <w:rPr>
                <w:rFonts w:hint="eastAsia" w:ascii="楷体" w:hAnsi="楷体" w:eastAsia="楷体"/>
                <w:sz w:val="18"/>
                <w:szCs w:val="18"/>
              </w:rPr>
              <w:t>4</w:t>
            </w:r>
            <w:r>
              <w:rPr>
                <w:rFonts w:hint="eastAsia" w:ascii="楷体" w:hAnsi="楷体" w:eastAsia="楷体"/>
                <w:sz w:val="18"/>
                <w:szCs w:val="18"/>
                <w:lang w:val="en-US" w:eastAsia="zh-CN"/>
              </w:rPr>
              <w:t>3</w:t>
            </w:r>
          </w:p>
        </w:tc>
        <w:tc>
          <w:tcPr>
            <w:tcW w:w="1074" w:type="dxa"/>
            <w:vMerge w:val="continue"/>
            <w:vAlign w:val="center"/>
          </w:tcPr>
          <w:p w14:paraId="30C8C1C7">
            <w:pPr>
              <w:pStyle w:val="41"/>
              <w:jc w:val="center"/>
              <w:rPr>
                <w:rFonts w:hint="default" w:ascii="楷体" w:hAnsi="楷体" w:eastAsia="楷体"/>
                <w:sz w:val="18"/>
                <w:szCs w:val="18"/>
              </w:rPr>
            </w:pPr>
          </w:p>
        </w:tc>
        <w:tc>
          <w:tcPr>
            <w:tcW w:w="6236" w:type="dxa"/>
          </w:tcPr>
          <w:p w14:paraId="500CCBA6">
            <w:pPr>
              <w:spacing w:line="300" w:lineRule="exact"/>
              <w:ind w:firstLine="400" w:firstLineChars="200"/>
              <w:rPr>
                <w:rFonts w:ascii="楷体" w:hAnsi="楷体" w:eastAsia="楷体"/>
                <w:sz w:val="18"/>
                <w:szCs w:val="18"/>
              </w:rPr>
            </w:pPr>
            <w:r>
              <w:rPr>
                <w:rFonts w:hint="eastAsia" w:asciiTheme="minorEastAsia" w:hAnsiTheme="minorEastAsia" w:eastAsiaTheme="minorEastAsia" w:cstheme="minorEastAsia"/>
                <w:sz w:val="20"/>
              </w:rPr>
              <w:t>2.增值服务方面：（1）提供定期的电梯安全培训、应急演练提高师生的安全意识。（2）定期对电梯进行全面的检查和保养，确保设备的正常运行。（3）为采购人提供电梯运行数据分析，协助制定更合理的电梯使用制度。</w:t>
            </w:r>
          </w:p>
        </w:tc>
        <w:tc>
          <w:tcPr>
            <w:tcW w:w="6236" w:type="dxa"/>
            <w:vAlign w:val="center"/>
          </w:tcPr>
          <w:p w14:paraId="4CF4B4AA">
            <w:pPr>
              <w:jc w:val="center"/>
              <w:rPr>
                <w:rFonts w:ascii="楷体" w:hAnsi="楷体" w:eastAsia="楷体"/>
                <w:sz w:val="18"/>
                <w:szCs w:val="18"/>
              </w:rPr>
            </w:pPr>
          </w:p>
        </w:tc>
        <w:tc>
          <w:tcPr>
            <w:tcW w:w="690" w:type="dxa"/>
            <w:vAlign w:val="center"/>
          </w:tcPr>
          <w:p w14:paraId="38C0B3BF">
            <w:pPr>
              <w:jc w:val="center"/>
              <w:rPr>
                <w:rFonts w:ascii="楷体" w:hAnsi="楷体" w:eastAsia="楷体"/>
                <w:sz w:val="18"/>
                <w:szCs w:val="18"/>
              </w:rPr>
            </w:pPr>
          </w:p>
        </w:tc>
        <w:tc>
          <w:tcPr>
            <w:tcW w:w="510" w:type="dxa"/>
            <w:vAlign w:val="center"/>
          </w:tcPr>
          <w:p w14:paraId="7E50C334">
            <w:pPr>
              <w:jc w:val="center"/>
              <w:rPr>
                <w:rFonts w:ascii="楷体" w:hAnsi="楷体" w:eastAsia="楷体"/>
                <w:sz w:val="18"/>
                <w:szCs w:val="18"/>
              </w:rPr>
            </w:pPr>
          </w:p>
        </w:tc>
      </w:tr>
      <w:tr w14:paraId="352AB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0F56D1D2">
            <w:pPr>
              <w:jc w:val="center"/>
              <w:rPr>
                <w:rFonts w:ascii="楷体" w:hAnsi="楷体" w:eastAsia="楷体"/>
                <w:sz w:val="18"/>
                <w:szCs w:val="18"/>
              </w:rPr>
            </w:pPr>
            <w:r>
              <w:rPr>
                <w:rFonts w:hint="eastAsia" w:ascii="楷体" w:hAnsi="楷体" w:eastAsia="楷体"/>
                <w:sz w:val="18"/>
                <w:szCs w:val="18"/>
              </w:rPr>
              <w:t>4</w:t>
            </w:r>
            <w:r>
              <w:rPr>
                <w:rFonts w:hint="eastAsia" w:ascii="楷体" w:hAnsi="楷体" w:eastAsia="楷体"/>
                <w:sz w:val="18"/>
                <w:szCs w:val="18"/>
                <w:lang w:val="en-US" w:eastAsia="zh-CN"/>
              </w:rPr>
              <w:t>4</w:t>
            </w:r>
          </w:p>
        </w:tc>
        <w:tc>
          <w:tcPr>
            <w:tcW w:w="1074" w:type="dxa"/>
            <w:vMerge w:val="continue"/>
            <w:vAlign w:val="center"/>
          </w:tcPr>
          <w:p w14:paraId="6FB9A691">
            <w:pPr>
              <w:pStyle w:val="41"/>
              <w:jc w:val="center"/>
              <w:rPr>
                <w:rFonts w:hint="default" w:ascii="楷体" w:hAnsi="楷体" w:eastAsia="楷体"/>
                <w:sz w:val="18"/>
                <w:szCs w:val="18"/>
              </w:rPr>
            </w:pPr>
          </w:p>
        </w:tc>
        <w:tc>
          <w:tcPr>
            <w:tcW w:w="6236" w:type="dxa"/>
          </w:tcPr>
          <w:p w14:paraId="66E0D953">
            <w:pPr>
              <w:spacing w:line="300" w:lineRule="exact"/>
              <w:ind w:firstLine="400" w:firstLineChars="200"/>
              <w:rPr>
                <w:rFonts w:ascii="楷体" w:hAnsi="楷体" w:eastAsia="楷体"/>
                <w:sz w:val="18"/>
                <w:szCs w:val="18"/>
              </w:rPr>
            </w:pPr>
            <w:r>
              <w:rPr>
                <w:rFonts w:hint="eastAsia" w:asciiTheme="minorEastAsia" w:hAnsiTheme="minorEastAsia" w:eastAsiaTheme="minorEastAsia" w:cstheme="minorEastAsia"/>
                <w:sz w:val="20"/>
              </w:rPr>
              <w:t>3.在学校</w:t>
            </w:r>
            <w:r>
              <w:rPr>
                <w:rFonts w:hint="eastAsia" w:asciiTheme="minorEastAsia" w:hAnsiTheme="minorEastAsia" w:eastAsiaTheme="minorEastAsia" w:cstheme="minorEastAsia"/>
                <w:sz w:val="20"/>
                <w:lang w:val="en-US" w:eastAsia="zh-CN"/>
              </w:rPr>
              <w:t>工作</w:t>
            </w:r>
            <w:r>
              <w:rPr>
                <w:rFonts w:hint="eastAsia" w:asciiTheme="minorEastAsia" w:hAnsiTheme="minorEastAsia" w:eastAsiaTheme="minorEastAsia" w:cstheme="minorEastAsia"/>
                <w:sz w:val="20"/>
              </w:rPr>
              <w:t>期间，对于电梯的控制和管理要求如下：（1）根据活动规模和人员流量，合理安排电梯的运行方式。（2）安排专人在活动期间对电梯进行现场管理，确保乘客的安全和秩序。</w:t>
            </w:r>
          </w:p>
        </w:tc>
        <w:tc>
          <w:tcPr>
            <w:tcW w:w="6236" w:type="dxa"/>
            <w:vAlign w:val="center"/>
          </w:tcPr>
          <w:p w14:paraId="767FB5EC">
            <w:pPr>
              <w:jc w:val="center"/>
              <w:rPr>
                <w:rFonts w:ascii="楷体" w:hAnsi="楷体" w:eastAsia="楷体"/>
                <w:sz w:val="18"/>
                <w:szCs w:val="18"/>
              </w:rPr>
            </w:pPr>
          </w:p>
        </w:tc>
        <w:tc>
          <w:tcPr>
            <w:tcW w:w="690" w:type="dxa"/>
            <w:vAlign w:val="center"/>
          </w:tcPr>
          <w:p w14:paraId="5874188A">
            <w:pPr>
              <w:jc w:val="center"/>
              <w:rPr>
                <w:rFonts w:ascii="楷体" w:hAnsi="楷体" w:eastAsia="楷体"/>
                <w:sz w:val="18"/>
                <w:szCs w:val="18"/>
              </w:rPr>
            </w:pPr>
          </w:p>
        </w:tc>
        <w:tc>
          <w:tcPr>
            <w:tcW w:w="510" w:type="dxa"/>
            <w:vAlign w:val="center"/>
          </w:tcPr>
          <w:p w14:paraId="3BF25B86">
            <w:pPr>
              <w:jc w:val="center"/>
              <w:rPr>
                <w:rFonts w:ascii="楷体" w:hAnsi="楷体" w:eastAsia="楷体"/>
                <w:sz w:val="18"/>
                <w:szCs w:val="18"/>
              </w:rPr>
            </w:pPr>
          </w:p>
        </w:tc>
      </w:tr>
      <w:tr w14:paraId="4689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770A0E36">
            <w:pPr>
              <w:jc w:val="center"/>
              <w:rPr>
                <w:rFonts w:ascii="楷体" w:hAnsi="楷体" w:eastAsia="楷体"/>
                <w:sz w:val="18"/>
                <w:szCs w:val="18"/>
              </w:rPr>
            </w:pPr>
            <w:r>
              <w:rPr>
                <w:rFonts w:hint="eastAsia" w:ascii="楷体" w:hAnsi="楷体" w:eastAsia="楷体"/>
                <w:sz w:val="18"/>
                <w:szCs w:val="18"/>
              </w:rPr>
              <w:t>4</w:t>
            </w:r>
            <w:r>
              <w:rPr>
                <w:rFonts w:hint="eastAsia" w:ascii="楷体" w:hAnsi="楷体" w:eastAsia="楷体"/>
                <w:sz w:val="18"/>
                <w:szCs w:val="18"/>
                <w:lang w:val="en-US" w:eastAsia="zh-CN"/>
              </w:rPr>
              <w:t>5</w:t>
            </w:r>
          </w:p>
        </w:tc>
        <w:tc>
          <w:tcPr>
            <w:tcW w:w="1074" w:type="dxa"/>
            <w:vMerge w:val="restart"/>
            <w:vAlign w:val="center"/>
          </w:tcPr>
          <w:p w14:paraId="4E39A389">
            <w:pPr>
              <w:pStyle w:val="41"/>
              <w:jc w:val="center"/>
              <w:rPr>
                <w:rFonts w:hint="default" w:ascii="楷体" w:hAnsi="楷体" w:eastAsia="楷体"/>
                <w:sz w:val="18"/>
                <w:szCs w:val="18"/>
              </w:rPr>
            </w:pPr>
            <w:r>
              <w:rPr>
                <w:rFonts w:ascii="楷体" w:hAnsi="楷体" w:eastAsia="楷体"/>
                <w:sz w:val="18"/>
                <w:szCs w:val="18"/>
              </w:rPr>
              <w:t>其他要求</w:t>
            </w:r>
          </w:p>
        </w:tc>
        <w:tc>
          <w:tcPr>
            <w:tcW w:w="6236" w:type="dxa"/>
          </w:tcPr>
          <w:p w14:paraId="6C9BA379">
            <w:pPr>
              <w:spacing w:line="300" w:lineRule="exact"/>
              <w:ind w:firstLine="400" w:firstLineChars="200"/>
              <w:rPr>
                <w:rFonts w:ascii="楷体" w:hAnsi="楷体" w:eastAsia="楷体"/>
                <w:sz w:val="18"/>
                <w:szCs w:val="18"/>
              </w:rPr>
            </w:pPr>
            <w:r>
              <w:rPr>
                <w:rFonts w:hint="eastAsia" w:asciiTheme="minorEastAsia" w:hAnsiTheme="minorEastAsia" w:eastAsiaTheme="minorEastAsia" w:cstheme="minorEastAsia"/>
                <w:sz w:val="20"/>
              </w:rPr>
              <w:t>1.投标供应商具备各类人员的培训计划：操作方式、目标及行为、操作规范等；具有完整的人员考核：录用与考核淘汰机制，协调关系，服务意识，量化管理及标准运作等，确保维保人员具备足够的专业知识和技能，能够高效、安全地完成电梯的维保工作，保障电梯设备的正常运行和乘客的安全。</w:t>
            </w:r>
          </w:p>
        </w:tc>
        <w:tc>
          <w:tcPr>
            <w:tcW w:w="6236" w:type="dxa"/>
            <w:vAlign w:val="center"/>
          </w:tcPr>
          <w:p w14:paraId="6CACBF70">
            <w:pPr>
              <w:jc w:val="center"/>
              <w:rPr>
                <w:rFonts w:ascii="楷体" w:hAnsi="楷体" w:eastAsia="楷体"/>
                <w:sz w:val="18"/>
                <w:szCs w:val="18"/>
              </w:rPr>
            </w:pPr>
          </w:p>
        </w:tc>
        <w:tc>
          <w:tcPr>
            <w:tcW w:w="690" w:type="dxa"/>
            <w:vAlign w:val="center"/>
          </w:tcPr>
          <w:p w14:paraId="2921987D">
            <w:pPr>
              <w:jc w:val="center"/>
              <w:rPr>
                <w:rFonts w:ascii="楷体" w:hAnsi="楷体" w:eastAsia="楷体"/>
                <w:sz w:val="18"/>
                <w:szCs w:val="18"/>
              </w:rPr>
            </w:pPr>
          </w:p>
        </w:tc>
        <w:tc>
          <w:tcPr>
            <w:tcW w:w="510" w:type="dxa"/>
            <w:vAlign w:val="center"/>
          </w:tcPr>
          <w:p w14:paraId="22D2FEF0">
            <w:pPr>
              <w:jc w:val="center"/>
              <w:rPr>
                <w:rFonts w:ascii="楷体" w:hAnsi="楷体" w:eastAsia="楷体"/>
                <w:sz w:val="18"/>
                <w:szCs w:val="18"/>
              </w:rPr>
            </w:pPr>
          </w:p>
        </w:tc>
      </w:tr>
      <w:tr w14:paraId="03AA0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06822721">
            <w:pPr>
              <w:jc w:val="center"/>
              <w:rPr>
                <w:rFonts w:ascii="楷体" w:hAnsi="楷体" w:eastAsia="楷体"/>
                <w:sz w:val="18"/>
                <w:szCs w:val="18"/>
              </w:rPr>
            </w:pPr>
            <w:r>
              <w:rPr>
                <w:rFonts w:hint="eastAsia" w:ascii="楷体" w:hAnsi="楷体" w:eastAsia="楷体"/>
                <w:sz w:val="18"/>
                <w:szCs w:val="18"/>
              </w:rPr>
              <w:t>4</w:t>
            </w:r>
            <w:r>
              <w:rPr>
                <w:rFonts w:hint="eastAsia" w:ascii="楷体" w:hAnsi="楷体" w:eastAsia="楷体"/>
                <w:sz w:val="18"/>
                <w:szCs w:val="18"/>
                <w:lang w:val="en-US" w:eastAsia="zh-CN"/>
              </w:rPr>
              <w:t>6</w:t>
            </w:r>
          </w:p>
        </w:tc>
        <w:tc>
          <w:tcPr>
            <w:tcW w:w="1074" w:type="dxa"/>
            <w:vMerge w:val="continue"/>
            <w:vAlign w:val="center"/>
          </w:tcPr>
          <w:p w14:paraId="1C5A983C">
            <w:pPr>
              <w:pStyle w:val="41"/>
              <w:jc w:val="center"/>
              <w:rPr>
                <w:rFonts w:hint="default" w:ascii="楷体" w:hAnsi="楷体" w:eastAsia="楷体"/>
                <w:sz w:val="18"/>
                <w:szCs w:val="18"/>
              </w:rPr>
            </w:pPr>
          </w:p>
        </w:tc>
        <w:tc>
          <w:tcPr>
            <w:tcW w:w="6236" w:type="dxa"/>
          </w:tcPr>
          <w:p w14:paraId="4BADC13D">
            <w:pPr>
              <w:spacing w:line="300" w:lineRule="exact"/>
              <w:ind w:firstLine="400" w:firstLineChars="200"/>
              <w:rPr>
                <w:rFonts w:ascii="楷体" w:hAnsi="楷体" w:eastAsia="楷体"/>
                <w:sz w:val="18"/>
                <w:szCs w:val="18"/>
              </w:rPr>
            </w:pPr>
            <w:r>
              <w:rPr>
                <w:rFonts w:hint="eastAsia" w:asciiTheme="minorEastAsia" w:hAnsiTheme="minorEastAsia" w:eastAsiaTheme="minorEastAsia" w:cstheme="minorEastAsia"/>
                <w:sz w:val="20"/>
              </w:rPr>
              <w:t>2.经验要求：投标供应商具备履约能力，具备同类服务履约经验和评价。</w:t>
            </w:r>
          </w:p>
        </w:tc>
        <w:tc>
          <w:tcPr>
            <w:tcW w:w="6236" w:type="dxa"/>
            <w:vAlign w:val="center"/>
          </w:tcPr>
          <w:p w14:paraId="55261D14">
            <w:pPr>
              <w:jc w:val="center"/>
              <w:rPr>
                <w:rFonts w:ascii="楷体" w:hAnsi="楷体" w:eastAsia="楷体"/>
                <w:sz w:val="18"/>
                <w:szCs w:val="18"/>
              </w:rPr>
            </w:pPr>
          </w:p>
        </w:tc>
        <w:tc>
          <w:tcPr>
            <w:tcW w:w="690" w:type="dxa"/>
            <w:vAlign w:val="center"/>
          </w:tcPr>
          <w:p w14:paraId="32CFC86F">
            <w:pPr>
              <w:jc w:val="center"/>
              <w:rPr>
                <w:rFonts w:ascii="楷体" w:hAnsi="楷体" w:eastAsia="楷体"/>
                <w:sz w:val="18"/>
                <w:szCs w:val="18"/>
              </w:rPr>
            </w:pPr>
          </w:p>
        </w:tc>
        <w:tc>
          <w:tcPr>
            <w:tcW w:w="510" w:type="dxa"/>
            <w:vAlign w:val="center"/>
          </w:tcPr>
          <w:p w14:paraId="49FFC2B8">
            <w:pPr>
              <w:jc w:val="center"/>
              <w:rPr>
                <w:rFonts w:ascii="楷体" w:hAnsi="楷体" w:eastAsia="楷体"/>
                <w:sz w:val="18"/>
                <w:szCs w:val="18"/>
              </w:rPr>
            </w:pPr>
          </w:p>
        </w:tc>
      </w:tr>
      <w:tr w14:paraId="54D6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0C7E4592">
            <w:pPr>
              <w:jc w:val="center"/>
              <w:rPr>
                <w:rFonts w:ascii="楷体" w:hAnsi="楷体" w:eastAsia="楷体"/>
                <w:sz w:val="18"/>
                <w:szCs w:val="18"/>
              </w:rPr>
            </w:pPr>
            <w:r>
              <w:rPr>
                <w:rFonts w:hint="eastAsia" w:ascii="楷体" w:hAnsi="楷体" w:eastAsia="楷体"/>
                <w:sz w:val="18"/>
                <w:szCs w:val="18"/>
              </w:rPr>
              <w:t>4</w:t>
            </w:r>
            <w:r>
              <w:rPr>
                <w:rFonts w:hint="eastAsia" w:ascii="楷体" w:hAnsi="楷体" w:eastAsia="楷体"/>
                <w:sz w:val="18"/>
                <w:szCs w:val="18"/>
                <w:lang w:val="en-US" w:eastAsia="zh-CN"/>
              </w:rPr>
              <w:t>7</w:t>
            </w:r>
          </w:p>
        </w:tc>
        <w:tc>
          <w:tcPr>
            <w:tcW w:w="1074" w:type="dxa"/>
            <w:vMerge w:val="continue"/>
            <w:vAlign w:val="center"/>
          </w:tcPr>
          <w:p w14:paraId="2078653C">
            <w:pPr>
              <w:pStyle w:val="41"/>
              <w:jc w:val="center"/>
              <w:rPr>
                <w:rFonts w:hint="default" w:ascii="楷体" w:hAnsi="楷体" w:eastAsia="楷体"/>
                <w:sz w:val="18"/>
                <w:szCs w:val="18"/>
              </w:rPr>
            </w:pPr>
          </w:p>
        </w:tc>
        <w:tc>
          <w:tcPr>
            <w:tcW w:w="6236" w:type="dxa"/>
          </w:tcPr>
          <w:p w14:paraId="0839E8B5">
            <w:pPr>
              <w:spacing w:line="300" w:lineRule="exact"/>
              <w:ind w:firstLine="400" w:firstLineChars="200"/>
              <w:rPr>
                <w:rFonts w:ascii="楷体" w:hAnsi="楷体" w:eastAsia="楷体"/>
                <w:sz w:val="18"/>
                <w:szCs w:val="18"/>
              </w:rPr>
            </w:pPr>
            <w:r>
              <w:rPr>
                <w:rFonts w:hint="eastAsia" w:asciiTheme="minorEastAsia" w:hAnsiTheme="minorEastAsia" w:eastAsiaTheme="minorEastAsia" w:cstheme="minorEastAsia"/>
                <w:sz w:val="20"/>
              </w:rPr>
              <w:t>3.投标供应商应具备项目管理能力：质量管理能力；环境管理能力；商品售后服务能力。</w:t>
            </w:r>
          </w:p>
        </w:tc>
        <w:tc>
          <w:tcPr>
            <w:tcW w:w="6236" w:type="dxa"/>
            <w:vAlign w:val="center"/>
          </w:tcPr>
          <w:p w14:paraId="15F6C24E">
            <w:pPr>
              <w:jc w:val="center"/>
              <w:rPr>
                <w:rFonts w:ascii="楷体" w:hAnsi="楷体" w:eastAsia="楷体"/>
                <w:sz w:val="18"/>
                <w:szCs w:val="18"/>
              </w:rPr>
            </w:pPr>
          </w:p>
        </w:tc>
        <w:tc>
          <w:tcPr>
            <w:tcW w:w="690" w:type="dxa"/>
            <w:vAlign w:val="center"/>
          </w:tcPr>
          <w:p w14:paraId="291E94DC">
            <w:pPr>
              <w:jc w:val="center"/>
              <w:rPr>
                <w:rFonts w:ascii="楷体" w:hAnsi="楷体" w:eastAsia="楷体"/>
                <w:sz w:val="18"/>
                <w:szCs w:val="18"/>
              </w:rPr>
            </w:pPr>
          </w:p>
        </w:tc>
        <w:tc>
          <w:tcPr>
            <w:tcW w:w="510" w:type="dxa"/>
            <w:vAlign w:val="center"/>
          </w:tcPr>
          <w:p w14:paraId="3D19E0F7">
            <w:pPr>
              <w:jc w:val="center"/>
              <w:rPr>
                <w:rFonts w:ascii="楷体" w:hAnsi="楷体" w:eastAsia="楷体"/>
                <w:sz w:val="18"/>
                <w:szCs w:val="18"/>
              </w:rPr>
            </w:pPr>
          </w:p>
        </w:tc>
      </w:tr>
    </w:tbl>
    <w:p w14:paraId="1C2091CB">
      <w:pPr>
        <w:widowControl/>
        <w:ind w:right="150" w:rightChars="50" w:firstLine="426" w:firstLineChars="142"/>
        <w:jc w:val="left"/>
        <w:rPr>
          <w:rFonts w:ascii="仿宋" w:hAnsi="仿宋" w:eastAsia="仿宋" w:cs="仿宋"/>
          <w:szCs w:val="30"/>
        </w:rPr>
      </w:pPr>
    </w:p>
    <w:sectPr>
      <w:pgSz w:w="16838" w:h="11906" w:orient="landscape"/>
      <w:pgMar w:top="1077" w:right="1077" w:bottom="1377" w:left="107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1A18">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C80749">
                          <w:pPr>
                            <w:pStyle w:val="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BC80749">
                    <w:pPr>
                      <w:pStyle w:val="9"/>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F58A19"/>
    <w:multiLevelType w:val="singleLevel"/>
    <w:tmpl w:val="E4F58A1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HorizontalSpacing w:val="150"/>
  <w:drawingGridVerticalSpacing w:val="204"/>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ZGJmNWVjODY5NzZjMWJlMmE1ZjY1MzVmNzA0MGMifQ=="/>
  </w:docVars>
  <w:rsids>
    <w:rsidRoot w:val="00DB26D3"/>
    <w:rsid w:val="00005143"/>
    <w:rsid w:val="00015248"/>
    <w:rsid w:val="00025F74"/>
    <w:rsid w:val="00036CCD"/>
    <w:rsid w:val="00057FCF"/>
    <w:rsid w:val="000616E7"/>
    <w:rsid w:val="0006419E"/>
    <w:rsid w:val="000661A1"/>
    <w:rsid w:val="00076414"/>
    <w:rsid w:val="000B2EF5"/>
    <w:rsid w:val="000C49CF"/>
    <w:rsid w:val="000C60E9"/>
    <w:rsid w:val="000D2953"/>
    <w:rsid w:val="000E0E0A"/>
    <w:rsid w:val="000E2B32"/>
    <w:rsid w:val="000E3FAD"/>
    <w:rsid w:val="000F63D2"/>
    <w:rsid w:val="00100048"/>
    <w:rsid w:val="001043A0"/>
    <w:rsid w:val="001072FB"/>
    <w:rsid w:val="00115863"/>
    <w:rsid w:val="001423F2"/>
    <w:rsid w:val="001479E1"/>
    <w:rsid w:val="001509F5"/>
    <w:rsid w:val="0015156D"/>
    <w:rsid w:val="00156622"/>
    <w:rsid w:val="00164DEC"/>
    <w:rsid w:val="00171155"/>
    <w:rsid w:val="0017437A"/>
    <w:rsid w:val="001751DC"/>
    <w:rsid w:val="00186BEA"/>
    <w:rsid w:val="0019108D"/>
    <w:rsid w:val="001B2603"/>
    <w:rsid w:val="001B7692"/>
    <w:rsid w:val="001C0B0A"/>
    <w:rsid w:val="001D5722"/>
    <w:rsid w:val="001E4817"/>
    <w:rsid w:val="001F0622"/>
    <w:rsid w:val="00210A66"/>
    <w:rsid w:val="00215B61"/>
    <w:rsid w:val="00234015"/>
    <w:rsid w:val="00247830"/>
    <w:rsid w:val="00254B63"/>
    <w:rsid w:val="0026214B"/>
    <w:rsid w:val="00265979"/>
    <w:rsid w:val="002808D2"/>
    <w:rsid w:val="00293695"/>
    <w:rsid w:val="002A316C"/>
    <w:rsid w:val="002C048F"/>
    <w:rsid w:val="002C328E"/>
    <w:rsid w:val="002D71B0"/>
    <w:rsid w:val="002E5403"/>
    <w:rsid w:val="002F2585"/>
    <w:rsid w:val="002F40F9"/>
    <w:rsid w:val="002F6A68"/>
    <w:rsid w:val="003230E6"/>
    <w:rsid w:val="00324D75"/>
    <w:rsid w:val="00325F80"/>
    <w:rsid w:val="00332EAA"/>
    <w:rsid w:val="00337CEF"/>
    <w:rsid w:val="00374EB0"/>
    <w:rsid w:val="003C05C2"/>
    <w:rsid w:val="003C6FA4"/>
    <w:rsid w:val="003D0E85"/>
    <w:rsid w:val="003F371D"/>
    <w:rsid w:val="003F5E38"/>
    <w:rsid w:val="004028EA"/>
    <w:rsid w:val="004072EB"/>
    <w:rsid w:val="00414888"/>
    <w:rsid w:val="00415910"/>
    <w:rsid w:val="00416FB1"/>
    <w:rsid w:val="00426D72"/>
    <w:rsid w:val="00441394"/>
    <w:rsid w:val="00442147"/>
    <w:rsid w:val="00474E90"/>
    <w:rsid w:val="00485684"/>
    <w:rsid w:val="004A422B"/>
    <w:rsid w:val="004A6383"/>
    <w:rsid w:val="004C2127"/>
    <w:rsid w:val="004D27DB"/>
    <w:rsid w:val="004F75D6"/>
    <w:rsid w:val="00510360"/>
    <w:rsid w:val="005141DE"/>
    <w:rsid w:val="00522248"/>
    <w:rsid w:val="00525C1F"/>
    <w:rsid w:val="00527316"/>
    <w:rsid w:val="00537BE5"/>
    <w:rsid w:val="0054645F"/>
    <w:rsid w:val="005465FC"/>
    <w:rsid w:val="005550AA"/>
    <w:rsid w:val="0056775F"/>
    <w:rsid w:val="00567CA7"/>
    <w:rsid w:val="005721D6"/>
    <w:rsid w:val="00572778"/>
    <w:rsid w:val="00591BCC"/>
    <w:rsid w:val="005955A8"/>
    <w:rsid w:val="005B04DC"/>
    <w:rsid w:val="005B3F4C"/>
    <w:rsid w:val="005C2914"/>
    <w:rsid w:val="005C43FE"/>
    <w:rsid w:val="005C60CF"/>
    <w:rsid w:val="005D4066"/>
    <w:rsid w:val="005E43A2"/>
    <w:rsid w:val="005F4E37"/>
    <w:rsid w:val="00603BD2"/>
    <w:rsid w:val="00612FE4"/>
    <w:rsid w:val="00623AB2"/>
    <w:rsid w:val="00626F10"/>
    <w:rsid w:val="00647274"/>
    <w:rsid w:val="00651C57"/>
    <w:rsid w:val="00656251"/>
    <w:rsid w:val="0066246C"/>
    <w:rsid w:val="00665C87"/>
    <w:rsid w:val="00672E68"/>
    <w:rsid w:val="00674B0C"/>
    <w:rsid w:val="006846F1"/>
    <w:rsid w:val="00692568"/>
    <w:rsid w:val="006A6C40"/>
    <w:rsid w:val="006C218D"/>
    <w:rsid w:val="006C2538"/>
    <w:rsid w:val="006C733E"/>
    <w:rsid w:val="006D7408"/>
    <w:rsid w:val="007261C1"/>
    <w:rsid w:val="007267E6"/>
    <w:rsid w:val="0073026A"/>
    <w:rsid w:val="00746054"/>
    <w:rsid w:val="007545AF"/>
    <w:rsid w:val="0076406E"/>
    <w:rsid w:val="007764AD"/>
    <w:rsid w:val="007765B5"/>
    <w:rsid w:val="00784201"/>
    <w:rsid w:val="00785C93"/>
    <w:rsid w:val="0079269A"/>
    <w:rsid w:val="00793B14"/>
    <w:rsid w:val="00797597"/>
    <w:rsid w:val="007C22DA"/>
    <w:rsid w:val="007D2E71"/>
    <w:rsid w:val="007E70EC"/>
    <w:rsid w:val="007F089F"/>
    <w:rsid w:val="007F5576"/>
    <w:rsid w:val="007F5EF5"/>
    <w:rsid w:val="008033FD"/>
    <w:rsid w:val="00815301"/>
    <w:rsid w:val="00826B6D"/>
    <w:rsid w:val="00847044"/>
    <w:rsid w:val="00847C39"/>
    <w:rsid w:val="008554B7"/>
    <w:rsid w:val="00866FC5"/>
    <w:rsid w:val="00880064"/>
    <w:rsid w:val="00896EB6"/>
    <w:rsid w:val="008A20BB"/>
    <w:rsid w:val="008A5149"/>
    <w:rsid w:val="008B60E9"/>
    <w:rsid w:val="008C04F4"/>
    <w:rsid w:val="008D013B"/>
    <w:rsid w:val="008D6EDE"/>
    <w:rsid w:val="008E4D2E"/>
    <w:rsid w:val="008E7EFD"/>
    <w:rsid w:val="008F5291"/>
    <w:rsid w:val="008F5394"/>
    <w:rsid w:val="009340D8"/>
    <w:rsid w:val="00941757"/>
    <w:rsid w:val="009420B4"/>
    <w:rsid w:val="0095041E"/>
    <w:rsid w:val="00957892"/>
    <w:rsid w:val="00963702"/>
    <w:rsid w:val="0096405F"/>
    <w:rsid w:val="00976F65"/>
    <w:rsid w:val="00981D79"/>
    <w:rsid w:val="009A2D57"/>
    <w:rsid w:val="009A3702"/>
    <w:rsid w:val="009B4ACC"/>
    <w:rsid w:val="009C33B0"/>
    <w:rsid w:val="009C61D3"/>
    <w:rsid w:val="009E6DCB"/>
    <w:rsid w:val="009E77A8"/>
    <w:rsid w:val="009F238E"/>
    <w:rsid w:val="009F4789"/>
    <w:rsid w:val="009F5CE2"/>
    <w:rsid w:val="00A04D3B"/>
    <w:rsid w:val="00A06FDC"/>
    <w:rsid w:val="00A146C1"/>
    <w:rsid w:val="00A16864"/>
    <w:rsid w:val="00A2739E"/>
    <w:rsid w:val="00A35103"/>
    <w:rsid w:val="00A4438C"/>
    <w:rsid w:val="00A63E97"/>
    <w:rsid w:val="00A749C6"/>
    <w:rsid w:val="00A74F93"/>
    <w:rsid w:val="00A81938"/>
    <w:rsid w:val="00A863B1"/>
    <w:rsid w:val="00AA5C02"/>
    <w:rsid w:val="00AB233D"/>
    <w:rsid w:val="00AB3D4F"/>
    <w:rsid w:val="00B06D2D"/>
    <w:rsid w:val="00B24050"/>
    <w:rsid w:val="00B3556A"/>
    <w:rsid w:val="00B42C50"/>
    <w:rsid w:val="00B47254"/>
    <w:rsid w:val="00B633FF"/>
    <w:rsid w:val="00B735CA"/>
    <w:rsid w:val="00B75907"/>
    <w:rsid w:val="00B81931"/>
    <w:rsid w:val="00B828FE"/>
    <w:rsid w:val="00B87395"/>
    <w:rsid w:val="00BC2BBF"/>
    <w:rsid w:val="00BC450B"/>
    <w:rsid w:val="00BE15AE"/>
    <w:rsid w:val="00BE627B"/>
    <w:rsid w:val="00BF7F5C"/>
    <w:rsid w:val="00C128D1"/>
    <w:rsid w:val="00C26C0C"/>
    <w:rsid w:val="00C318F9"/>
    <w:rsid w:val="00C32309"/>
    <w:rsid w:val="00C324C1"/>
    <w:rsid w:val="00C34133"/>
    <w:rsid w:val="00C45186"/>
    <w:rsid w:val="00C72282"/>
    <w:rsid w:val="00C86E91"/>
    <w:rsid w:val="00C87C35"/>
    <w:rsid w:val="00C90CA1"/>
    <w:rsid w:val="00C940F3"/>
    <w:rsid w:val="00CA00EE"/>
    <w:rsid w:val="00CA6C3F"/>
    <w:rsid w:val="00CA6D58"/>
    <w:rsid w:val="00CB4FEE"/>
    <w:rsid w:val="00CC3254"/>
    <w:rsid w:val="00CD02F3"/>
    <w:rsid w:val="00CD2908"/>
    <w:rsid w:val="00CD4255"/>
    <w:rsid w:val="00CD532E"/>
    <w:rsid w:val="00CE75EF"/>
    <w:rsid w:val="00D0689F"/>
    <w:rsid w:val="00D10B68"/>
    <w:rsid w:val="00D35B00"/>
    <w:rsid w:val="00D378F4"/>
    <w:rsid w:val="00D403D5"/>
    <w:rsid w:val="00D4141A"/>
    <w:rsid w:val="00D4273C"/>
    <w:rsid w:val="00D4637C"/>
    <w:rsid w:val="00D53A83"/>
    <w:rsid w:val="00D57072"/>
    <w:rsid w:val="00D63113"/>
    <w:rsid w:val="00D72B4C"/>
    <w:rsid w:val="00D830C7"/>
    <w:rsid w:val="00D84785"/>
    <w:rsid w:val="00DA163E"/>
    <w:rsid w:val="00DA216E"/>
    <w:rsid w:val="00DA4758"/>
    <w:rsid w:val="00DA5556"/>
    <w:rsid w:val="00DB110F"/>
    <w:rsid w:val="00DB26D3"/>
    <w:rsid w:val="00DB6331"/>
    <w:rsid w:val="00DB7D35"/>
    <w:rsid w:val="00DC587F"/>
    <w:rsid w:val="00DC6146"/>
    <w:rsid w:val="00DE26B3"/>
    <w:rsid w:val="00DE4F8C"/>
    <w:rsid w:val="00DF5FC3"/>
    <w:rsid w:val="00E00798"/>
    <w:rsid w:val="00E352EC"/>
    <w:rsid w:val="00E40157"/>
    <w:rsid w:val="00E45085"/>
    <w:rsid w:val="00E45BC5"/>
    <w:rsid w:val="00E46FE3"/>
    <w:rsid w:val="00E5441E"/>
    <w:rsid w:val="00E632F8"/>
    <w:rsid w:val="00E83DD9"/>
    <w:rsid w:val="00E86442"/>
    <w:rsid w:val="00E943EC"/>
    <w:rsid w:val="00EA359B"/>
    <w:rsid w:val="00EB71D4"/>
    <w:rsid w:val="00ED0A64"/>
    <w:rsid w:val="00ED2653"/>
    <w:rsid w:val="00EE2F09"/>
    <w:rsid w:val="00EE2F9C"/>
    <w:rsid w:val="00EE4E23"/>
    <w:rsid w:val="00EF5DA5"/>
    <w:rsid w:val="00F15A75"/>
    <w:rsid w:val="00F32BA2"/>
    <w:rsid w:val="00F374A9"/>
    <w:rsid w:val="00F41B11"/>
    <w:rsid w:val="00F431CB"/>
    <w:rsid w:val="00F43F15"/>
    <w:rsid w:val="00F61907"/>
    <w:rsid w:val="00F74B66"/>
    <w:rsid w:val="00F759FE"/>
    <w:rsid w:val="00F827C0"/>
    <w:rsid w:val="00F82F18"/>
    <w:rsid w:val="00F87540"/>
    <w:rsid w:val="00FA0214"/>
    <w:rsid w:val="00FA03D0"/>
    <w:rsid w:val="00FA6A29"/>
    <w:rsid w:val="00FB7815"/>
    <w:rsid w:val="00FC1E1C"/>
    <w:rsid w:val="00FD0439"/>
    <w:rsid w:val="00FD74BD"/>
    <w:rsid w:val="01D73EDD"/>
    <w:rsid w:val="033D6BFB"/>
    <w:rsid w:val="05CA5C59"/>
    <w:rsid w:val="06FC7DBE"/>
    <w:rsid w:val="0754538C"/>
    <w:rsid w:val="07971D1E"/>
    <w:rsid w:val="09187F87"/>
    <w:rsid w:val="0B976389"/>
    <w:rsid w:val="0BDB308E"/>
    <w:rsid w:val="0C874EE1"/>
    <w:rsid w:val="0EF1674B"/>
    <w:rsid w:val="0F380715"/>
    <w:rsid w:val="11052878"/>
    <w:rsid w:val="12296A3A"/>
    <w:rsid w:val="122A0619"/>
    <w:rsid w:val="14F249E6"/>
    <w:rsid w:val="16837B96"/>
    <w:rsid w:val="17944956"/>
    <w:rsid w:val="17DD7339"/>
    <w:rsid w:val="189746FE"/>
    <w:rsid w:val="19B50E83"/>
    <w:rsid w:val="1B2B13B7"/>
    <w:rsid w:val="1C26757B"/>
    <w:rsid w:val="1C66549D"/>
    <w:rsid w:val="1D9456B0"/>
    <w:rsid w:val="1DCD6F33"/>
    <w:rsid w:val="1E1B76FA"/>
    <w:rsid w:val="1E9B1E8D"/>
    <w:rsid w:val="1EF01E20"/>
    <w:rsid w:val="1F301408"/>
    <w:rsid w:val="1FA04017"/>
    <w:rsid w:val="205E1DF5"/>
    <w:rsid w:val="20E029BA"/>
    <w:rsid w:val="21350961"/>
    <w:rsid w:val="21C610BE"/>
    <w:rsid w:val="23082338"/>
    <w:rsid w:val="232F7ADA"/>
    <w:rsid w:val="236C3C93"/>
    <w:rsid w:val="23ED78C8"/>
    <w:rsid w:val="24681644"/>
    <w:rsid w:val="246A0F18"/>
    <w:rsid w:val="247E2C16"/>
    <w:rsid w:val="24B050BF"/>
    <w:rsid w:val="26FE003E"/>
    <w:rsid w:val="2742617D"/>
    <w:rsid w:val="28545860"/>
    <w:rsid w:val="29DD6F27"/>
    <w:rsid w:val="2A7F3244"/>
    <w:rsid w:val="2BC4380D"/>
    <w:rsid w:val="2C8D0B34"/>
    <w:rsid w:val="2CF27CFD"/>
    <w:rsid w:val="2D6D7696"/>
    <w:rsid w:val="2E1343CF"/>
    <w:rsid w:val="2E2B600A"/>
    <w:rsid w:val="2E881373"/>
    <w:rsid w:val="2F37233F"/>
    <w:rsid w:val="30055F99"/>
    <w:rsid w:val="31184A7B"/>
    <w:rsid w:val="313E79B5"/>
    <w:rsid w:val="318F1FBE"/>
    <w:rsid w:val="31AB03AE"/>
    <w:rsid w:val="323F1C36"/>
    <w:rsid w:val="335112DA"/>
    <w:rsid w:val="337C2A16"/>
    <w:rsid w:val="34006D54"/>
    <w:rsid w:val="34334CAB"/>
    <w:rsid w:val="3482405C"/>
    <w:rsid w:val="356279EA"/>
    <w:rsid w:val="35780FBB"/>
    <w:rsid w:val="358010D6"/>
    <w:rsid w:val="36250E0D"/>
    <w:rsid w:val="364D628E"/>
    <w:rsid w:val="38A26A7B"/>
    <w:rsid w:val="3A7436CC"/>
    <w:rsid w:val="3B334302"/>
    <w:rsid w:val="3E2A7B5D"/>
    <w:rsid w:val="3E2C2622"/>
    <w:rsid w:val="3F221BDB"/>
    <w:rsid w:val="3FDD65EB"/>
    <w:rsid w:val="413012C5"/>
    <w:rsid w:val="41A53138"/>
    <w:rsid w:val="42251704"/>
    <w:rsid w:val="42462B6D"/>
    <w:rsid w:val="44341E4E"/>
    <w:rsid w:val="448512F1"/>
    <w:rsid w:val="44D141E5"/>
    <w:rsid w:val="45404FB7"/>
    <w:rsid w:val="455E1F7C"/>
    <w:rsid w:val="457A5914"/>
    <w:rsid w:val="484336AB"/>
    <w:rsid w:val="49B52386"/>
    <w:rsid w:val="4B9D75F1"/>
    <w:rsid w:val="4BCE55E3"/>
    <w:rsid w:val="4D583B9A"/>
    <w:rsid w:val="4DE4457B"/>
    <w:rsid w:val="4E594F0A"/>
    <w:rsid w:val="4F005E52"/>
    <w:rsid w:val="4F5B577E"/>
    <w:rsid w:val="4F836625"/>
    <w:rsid w:val="508B0711"/>
    <w:rsid w:val="51E9303F"/>
    <w:rsid w:val="54041F40"/>
    <w:rsid w:val="541C531E"/>
    <w:rsid w:val="57387DA0"/>
    <w:rsid w:val="57797F71"/>
    <w:rsid w:val="59B937CD"/>
    <w:rsid w:val="5B9E53C8"/>
    <w:rsid w:val="5F084E67"/>
    <w:rsid w:val="5F48187B"/>
    <w:rsid w:val="5F7E4942"/>
    <w:rsid w:val="60545FFD"/>
    <w:rsid w:val="61B94A94"/>
    <w:rsid w:val="628B1E1A"/>
    <w:rsid w:val="62F53AC8"/>
    <w:rsid w:val="63F55D49"/>
    <w:rsid w:val="673B1CC5"/>
    <w:rsid w:val="67A21D44"/>
    <w:rsid w:val="67BD092C"/>
    <w:rsid w:val="69CE29EE"/>
    <w:rsid w:val="6D4E4D3A"/>
    <w:rsid w:val="6DA47E3B"/>
    <w:rsid w:val="709B47C5"/>
    <w:rsid w:val="70CC0198"/>
    <w:rsid w:val="71E17976"/>
    <w:rsid w:val="729A12B3"/>
    <w:rsid w:val="73BF77DA"/>
    <w:rsid w:val="74061770"/>
    <w:rsid w:val="74180999"/>
    <w:rsid w:val="74CB4BA9"/>
    <w:rsid w:val="74F51705"/>
    <w:rsid w:val="7548159B"/>
    <w:rsid w:val="75544D43"/>
    <w:rsid w:val="75A1363B"/>
    <w:rsid w:val="7637726B"/>
    <w:rsid w:val="76463F55"/>
    <w:rsid w:val="769E50D3"/>
    <w:rsid w:val="789C1124"/>
    <w:rsid w:val="78BD4103"/>
    <w:rsid w:val="78F800B5"/>
    <w:rsid w:val="7C511C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3"/>
    <w:basedOn w:val="1"/>
    <w:next w:val="1"/>
    <w:link w:val="30"/>
    <w:semiHidden/>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2"/>
    <w:semiHidden/>
    <w:unhideWhenUsed/>
    <w:qFormat/>
    <w:uiPriority w:val="99"/>
    <w:pPr>
      <w:jc w:val="left"/>
    </w:pPr>
  </w:style>
  <w:style w:type="paragraph" w:styleId="4">
    <w:name w:val="Body Text"/>
    <w:basedOn w:val="1"/>
    <w:link w:val="35"/>
    <w:semiHidden/>
    <w:unhideWhenUsed/>
    <w:qFormat/>
    <w:uiPriority w:val="99"/>
    <w:pPr>
      <w:spacing w:after="120"/>
    </w:pPr>
  </w:style>
  <w:style w:type="paragraph" w:styleId="5">
    <w:name w:val="Body Text Indent"/>
    <w:basedOn w:val="1"/>
    <w:link w:val="33"/>
    <w:semiHidden/>
    <w:unhideWhenUsed/>
    <w:qFormat/>
    <w:uiPriority w:val="99"/>
    <w:pPr>
      <w:spacing w:after="120"/>
      <w:ind w:left="420" w:leftChars="200"/>
    </w:pPr>
  </w:style>
  <w:style w:type="paragraph" w:styleId="6">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7">
    <w:name w:val="Plain Text"/>
    <w:basedOn w:val="1"/>
    <w:link w:val="20"/>
    <w:qFormat/>
    <w:uiPriority w:val="0"/>
    <w:rPr>
      <w:rFonts w:ascii="宋体" w:hAnsi="Courier New" w:eastAsia="宋体" w:cstheme="minorBidi"/>
      <w:sz w:val="21"/>
      <w:szCs w:val="22"/>
    </w:rPr>
  </w:style>
  <w:style w:type="paragraph" w:styleId="8">
    <w:name w:val="Balloon Text"/>
    <w:basedOn w:val="1"/>
    <w:link w:val="31"/>
    <w:semiHidden/>
    <w:unhideWhenUsed/>
    <w:qFormat/>
    <w:uiPriority w:val="99"/>
    <w:rPr>
      <w:sz w:val="18"/>
      <w:szCs w:val="18"/>
    </w:rPr>
  </w:style>
  <w:style w:type="paragraph" w:styleId="9">
    <w:name w:val="footer"/>
    <w:basedOn w:val="1"/>
    <w:link w:val="24"/>
    <w:unhideWhenUsed/>
    <w:qFormat/>
    <w:uiPriority w:val="0"/>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after="150"/>
      <w:jc w:val="left"/>
    </w:pPr>
    <w:rPr>
      <w:rFonts w:ascii="宋体" w:hAnsi="宋体" w:eastAsia="宋体" w:cs="宋体"/>
      <w:kern w:val="0"/>
      <w:sz w:val="24"/>
      <w:szCs w:val="24"/>
    </w:rPr>
  </w:style>
  <w:style w:type="paragraph" w:styleId="12">
    <w:name w:val="Title"/>
    <w:basedOn w:val="1"/>
    <w:next w:val="1"/>
    <w:link w:val="29"/>
    <w:qFormat/>
    <w:uiPriority w:val="0"/>
    <w:pPr>
      <w:spacing w:before="240" w:after="60"/>
      <w:jc w:val="center"/>
      <w:outlineLvl w:val="0"/>
    </w:pPr>
    <w:rPr>
      <w:rFonts w:ascii="Cambria" w:hAnsi="Cambria" w:eastAsia="宋体"/>
      <w:b/>
      <w:bCs/>
      <w:sz w:val="32"/>
      <w:szCs w:val="32"/>
    </w:rPr>
  </w:style>
  <w:style w:type="paragraph" w:styleId="13">
    <w:name w:val="annotation subject"/>
    <w:basedOn w:val="3"/>
    <w:next w:val="3"/>
    <w:link w:val="43"/>
    <w:semiHidden/>
    <w:unhideWhenUsed/>
    <w:qFormat/>
    <w:uiPriority w:val="99"/>
    <w:rPr>
      <w:b/>
      <w:bCs/>
    </w:rPr>
  </w:style>
  <w:style w:type="paragraph" w:styleId="14">
    <w:name w:val="Body Text First Indent 2"/>
    <w:basedOn w:val="5"/>
    <w:link w:val="34"/>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annotation reference"/>
    <w:basedOn w:val="17"/>
    <w:semiHidden/>
    <w:unhideWhenUsed/>
    <w:qFormat/>
    <w:uiPriority w:val="99"/>
    <w:rPr>
      <w:sz w:val="21"/>
      <w:szCs w:val="21"/>
    </w:rPr>
  </w:style>
  <w:style w:type="character" w:customStyle="1" w:styleId="20">
    <w:name w:val="纯文本 Char"/>
    <w:link w:val="7"/>
    <w:qFormat/>
    <w:uiPriority w:val="0"/>
    <w:rPr>
      <w:rFonts w:ascii="宋体" w:hAnsi="Courier New" w:eastAsia="宋体"/>
    </w:rPr>
  </w:style>
  <w:style w:type="paragraph" w:customStyle="1" w:styleId="21">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22">
    <w:name w:val="纯文本 Char1"/>
    <w:basedOn w:val="17"/>
    <w:qFormat/>
    <w:uiPriority w:val="0"/>
    <w:rPr>
      <w:rFonts w:ascii="宋体" w:hAnsi="Courier New" w:eastAsia="宋体" w:cs="Courier New"/>
      <w:szCs w:val="21"/>
    </w:rPr>
  </w:style>
  <w:style w:type="character" w:customStyle="1" w:styleId="23">
    <w:name w:val="页眉 Char"/>
    <w:basedOn w:val="17"/>
    <w:link w:val="10"/>
    <w:qFormat/>
    <w:uiPriority w:val="99"/>
    <w:rPr>
      <w:rFonts w:ascii="Times New Roman" w:hAnsi="Times New Roman" w:eastAsia="仿宋_GB2312" w:cs="Times New Roman"/>
      <w:sz w:val="18"/>
      <w:szCs w:val="18"/>
    </w:rPr>
  </w:style>
  <w:style w:type="character" w:customStyle="1" w:styleId="24">
    <w:name w:val="页脚 Char"/>
    <w:basedOn w:val="17"/>
    <w:link w:val="9"/>
    <w:qFormat/>
    <w:uiPriority w:val="0"/>
    <w:rPr>
      <w:rFonts w:ascii="Times New Roman" w:hAnsi="Times New Roman" w:eastAsia="仿宋_GB2312" w:cs="Times New Roman"/>
      <w:sz w:val="18"/>
      <w:szCs w:val="18"/>
    </w:rPr>
  </w:style>
  <w:style w:type="paragraph" w:styleId="25">
    <w:name w:val="List Paragraph"/>
    <w:basedOn w:val="1"/>
    <w:link w:val="26"/>
    <w:unhideWhenUsed/>
    <w:qFormat/>
    <w:uiPriority w:val="34"/>
    <w:pPr>
      <w:ind w:firstLine="420" w:firstLineChars="200"/>
    </w:pPr>
    <w:rPr>
      <w:rFonts w:ascii="Calibri" w:hAnsi="Calibri" w:eastAsia="宋体"/>
      <w:sz w:val="21"/>
      <w:szCs w:val="22"/>
    </w:rPr>
  </w:style>
  <w:style w:type="character" w:customStyle="1" w:styleId="26">
    <w:name w:val="列出段落 Char"/>
    <w:link w:val="25"/>
    <w:qFormat/>
    <w:uiPriority w:val="34"/>
    <w:rPr>
      <w:rFonts w:ascii="Calibri" w:hAnsi="Calibri" w:eastAsia="宋体" w:cs="Times New Roman"/>
    </w:rPr>
  </w:style>
  <w:style w:type="paragraph" w:customStyle="1" w:styleId="27">
    <w:name w:val="样式 标题 3H3l3CT标题222Bold Headbhlevel_3PIM 3Level 3 Heads..."/>
    <w:basedOn w:val="2"/>
    <w:link w:val="28"/>
    <w:qFormat/>
    <w:uiPriority w:val="0"/>
    <w:pPr>
      <w:jc w:val="left"/>
    </w:pPr>
    <w:rPr>
      <w:rFonts w:ascii="宋体" w:hAnsi="宋体" w:eastAsia="黑体"/>
      <w:color w:val="000000"/>
      <w:sz w:val="24"/>
    </w:rPr>
  </w:style>
  <w:style w:type="character" w:customStyle="1" w:styleId="28">
    <w:name w:val="样式 标题 3H3l3CT标题222Bold Headbhlevel_3PIM 3Level 3 Heads... Char"/>
    <w:link w:val="27"/>
    <w:qFormat/>
    <w:uiPriority w:val="0"/>
    <w:rPr>
      <w:rFonts w:ascii="宋体" w:hAnsi="宋体" w:eastAsia="黑体" w:cs="Times New Roman"/>
      <w:b/>
      <w:bCs/>
      <w:color w:val="000000"/>
      <w:sz w:val="24"/>
      <w:szCs w:val="32"/>
    </w:rPr>
  </w:style>
  <w:style w:type="character" w:customStyle="1" w:styleId="29">
    <w:name w:val="标题 Char"/>
    <w:basedOn w:val="17"/>
    <w:link w:val="12"/>
    <w:qFormat/>
    <w:uiPriority w:val="0"/>
    <w:rPr>
      <w:rFonts w:ascii="Cambria" w:hAnsi="Cambria" w:eastAsia="宋体" w:cs="Times New Roman"/>
      <w:b/>
      <w:bCs/>
      <w:sz w:val="32"/>
      <w:szCs w:val="32"/>
    </w:rPr>
  </w:style>
  <w:style w:type="character" w:customStyle="1" w:styleId="30">
    <w:name w:val="标题 3 Char"/>
    <w:basedOn w:val="17"/>
    <w:link w:val="2"/>
    <w:semiHidden/>
    <w:qFormat/>
    <w:uiPriority w:val="9"/>
    <w:rPr>
      <w:rFonts w:ascii="Times New Roman" w:hAnsi="Times New Roman" w:eastAsia="仿宋_GB2312" w:cs="Times New Roman"/>
      <w:b/>
      <w:bCs/>
      <w:sz w:val="32"/>
      <w:szCs w:val="32"/>
    </w:rPr>
  </w:style>
  <w:style w:type="character" w:customStyle="1" w:styleId="31">
    <w:name w:val="批注框文本 Char"/>
    <w:basedOn w:val="17"/>
    <w:link w:val="8"/>
    <w:semiHidden/>
    <w:qFormat/>
    <w:uiPriority w:val="99"/>
    <w:rPr>
      <w:rFonts w:ascii="Times New Roman" w:hAnsi="Times New Roman" w:eastAsia="仿宋_GB2312" w:cs="Times New Roman"/>
      <w:sz w:val="18"/>
      <w:szCs w:val="18"/>
    </w:rPr>
  </w:style>
  <w:style w:type="paragraph" w:customStyle="1" w:styleId="32">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
    <w:name w:val="正文文本缩进 Char"/>
    <w:basedOn w:val="17"/>
    <w:link w:val="5"/>
    <w:semiHidden/>
    <w:qFormat/>
    <w:uiPriority w:val="99"/>
    <w:rPr>
      <w:rFonts w:ascii="Times New Roman" w:hAnsi="Times New Roman" w:eastAsia="仿宋_GB2312" w:cs="Times New Roman"/>
      <w:sz w:val="30"/>
      <w:szCs w:val="20"/>
    </w:rPr>
  </w:style>
  <w:style w:type="character" w:customStyle="1" w:styleId="34">
    <w:name w:val="正文首行缩进 2 Char"/>
    <w:basedOn w:val="33"/>
    <w:link w:val="14"/>
    <w:qFormat/>
    <w:uiPriority w:val="0"/>
    <w:rPr>
      <w:rFonts w:ascii="仿宋_GB2312" w:hAnsi="Times New Roman" w:eastAsia="仿宋_GB2312" w:cs="Times New Roman"/>
      <w:kern w:val="0"/>
      <w:sz w:val="28"/>
      <w:szCs w:val="20"/>
    </w:rPr>
  </w:style>
  <w:style w:type="character" w:customStyle="1" w:styleId="35">
    <w:name w:val="正文文本 Char"/>
    <w:basedOn w:val="17"/>
    <w:link w:val="4"/>
    <w:semiHidden/>
    <w:qFormat/>
    <w:uiPriority w:val="99"/>
    <w:rPr>
      <w:rFonts w:ascii="Times New Roman" w:hAnsi="Times New Roman" w:eastAsia="仿宋_GB2312" w:cs="Times New Roman"/>
      <w:sz w:val="30"/>
      <w:szCs w:val="20"/>
    </w:rPr>
  </w:style>
  <w:style w:type="paragraph" w:styleId="36">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7">
    <w:name w:val="font51"/>
    <w:basedOn w:val="17"/>
    <w:qFormat/>
    <w:uiPriority w:val="0"/>
    <w:rPr>
      <w:rFonts w:hint="eastAsia" w:ascii="宋体" w:hAnsi="宋体" w:eastAsia="宋体" w:cs="宋体"/>
      <w:b/>
      <w:bCs/>
      <w:color w:val="FF0000"/>
      <w:sz w:val="36"/>
      <w:szCs w:val="36"/>
      <w:u w:val="single"/>
    </w:rPr>
  </w:style>
  <w:style w:type="character" w:customStyle="1" w:styleId="38">
    <w:name w:val="font21"/>
    <w:basedOn w:val="17"/>
    <w:qFormat/>
    <w:uiPriority w:val="0"/>
    <w:rPr>
      <w:rFonts w:hint="eastAsia" w:ascii="宋体" w:hAnsi="宋体" w:eastAsia="宋体" w:cs="宋体"/>
      <w:b/>
      <w:bCs/>
      <w:color w:val="000000"/>
      <w:sz w:val="36"/>
      <w:szCs w:val="36"/>
      <w:u w:val="none"/>
    </w:rPr>
  </w:style>
  <w:style w:type="character" w:customStyle="1" w:styleId="39">
    <w:name w:val="font61"/>
    <w:basedOn w:val="17"/>
    <w:qFormat/>
    <w:uiPriority w:val="0"/>
    <w:rPr>
      <w:rFonts w:hint="eastAsia" w:ascii="宋体" w:hAnsi="宋体" w:eastAsia="宋体" w:cs="宋体"/>
      <w:b/>
      <w:bCs/>
      <w:color w:val="FF0000"/>
      <w:sz w:val="36"/>
      <w:szCs w:val="36"/>
      <w:u w:val="none"/>
    </w:rPr>
  </w:style>
  <w:style w:type="character" w:customStyle="1" w:styleId="40">
    <w:name w:val="font01"/>
    <w:basedOn w:val="17"/>
    <w:qFormat/>
    <w:uiPriority w:val="0"/>
    <w:rPr>
      <w:rFonts w:hint="eastAsia" w:ascii="宋体" w:hAnsi="宋体" w:eastAsia="宋体" w:cs="宋体"/>
      <w:color w:val="000000"/>
      <w:sz w:val="24"/>
      <w:szCs w:val="24"/>
      <w:u w:val="none"/>
    </w:rPr>
  </w:style>
  <w:style w:type="paragraph" w:customStyle="1" w:styleId="41">
    <w:name w:val="null3"/>
    <w:hidden/>
    <w:qFormat/>
    <w:uiPriority w:val="0"/>
    <w:rPr>
      <w:rFonts w:hint="eastAsia" w:asciiTheme="minorHAnsi" w:hAnsiTheme="minorHAnsi" w:eastAsiaTheme="minorEastAsia" w:cstheme="minorBidi"/>
      <w:lang w:val="en-US" w:eastAsia="zh-Hans" w:bidi="ar-SA"/>
    </w:rPr>
  </w:style>
  <w:style w:type="character" w:customStyle="1" w:styleId="42">
    <w:name w:val="批注文字 Char"/>
    <w:basedOn w:val="17"/>
    <w:link w:val="3"/>
    <w:semiHidden/>
    <w:qFormat/>
    <w:uiPriority w:val="99"/>
    <w:rPr>
      <w:rFonts w:eastAsia="仿宋_GB2312"/>
      <w:kern w:val="2"/>
      <w:sz w:val="30"/>
    </w:rPr>
  </w:style>
  <w:style w:type="character" w:customStyle="1" w:styleId="43">
    <w:name w:val="批注主题 Char"/>
    <w:basedOn w:val="42"/>
    <w:link w:val="13"/>
    <w:semiHidden/>
    <w:qFormat/>
    <w:uiPriority w:val="99"/>
    <w:rPr>
      <w:rFonts w:eastAsia="仿宋_GB2312"/>
      <w:b/>
      <w:bCs/>
      <w:kern w:val="2"/>
      <w:sz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9838</Words>
  <Characters>11658</Characters>
  <Lines>113</Lines>
  <Paragraphs>31</Paragraphs>
  <TotalTime>5</TotalTime>
  <ScaleCrop>false</ScaleCrop>
  <LinksUpToDate>false</LinksUpToDate>
  <CharactersWithSpaces>11742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2025-09-05T02:44:00Z</dcterms:created>
  <dc:creator>admin</dc:creator>
  <cp:lastModifiedBy>朱</cp:lastModifiedBy>
  <cp:lastPrinted>2025-09-19T07:50:00Z</cp:lastPrinted>
  <dcterms:modified xsi:type="dcterms:W3CDTF">2025-09-25T08:17:45Z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2C897B1A3CE64233B7D753378F8F07C6_13</vt:lpwstr>
  </property>
  <property fmtid="{D5CDD505-2E9C-101B-9397-08002B2CF9AE}" pid="4" name="KSOTemplateDocerSaveRecord">
    <vt:lpwstr>eyJoZGlkIjoiYTkzZGJmNWVjODY5NzZjMWJlMmE1ZjY1MzVmNzA0MGMiLCJ1c2VySWQiOiIzNjQ2ODU4NzgifQ==</vt:lpwstr>
  </property>
</Properties>
</file>