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302F4">
      <w:pPr>
        <w:widowControl/>
        <w:spacing w:line="600" w:lineRule="exact"/>
        <w:jc w:val="center"/>
        <w:rPr>
          <w:rFonts w:hint="eastAsia" w:cs="Helvetica" w:asciiTheme="minorEastAsia" w:hAnsiTheme="minorEastAsia" w:eastAsiaTheme="minorEastAsia"/>
          <w:b/>
          <w:color w:val="auto"/>
          <w:kern w:val="0"/>
          <w:sz w:val="36"/>
          <w:szCs w:val="36"/>
        </w:rPr>
      </w:pPr>
      <w:bookmarkStart w:id="0" w:name="_Toc12355_WPSOffice_Level1"/>
      <w:r>
        <w:rPr>
          <w:rFonts w:hint="eastAsia" w:cs="Helvetica" w:asciiTheme="minorEastAsia" w:hAnsiTheme="minorEastAsia" w:eastAsiaTheme="minorEastAsia"/>
          <w:b/>
          <w:color w:val="auto"/>
          <w:kern w:val="0"/>
          <w:sz w:val="36"/>
          <w:szCs w:val="36"/>
        </w:rPr>
        <w:t>江门市技师学院潮连校区运动场语音广播项目</w:t>
      </w:r>
    </w:p>
    <w:p w14:paraId="46B44A38">
      <w:pPr>
        <w:widowControl/>
        <w:spacing w:line="600" w:lineRule="exact"/>
        <w:jc w:val="center"/>
        <w:rPr>
          <w:rFonts w:cs="Helvetica" w:asciiTheme="minorEastAsia" w:hAnsiTheme="minorEastAsia" w:eastAsiaTheme="minorEastAsia"/>
          <w:b/>
          <w:color w:val="auto"/>
          <w:kern w:val="0"/>
          <w:sz w:val="36"/>
          <w:szCs w:val="36"/>
          <w:u w:val="single"/>
        </w:rPr>
      </w:pPr>
      <w:r>
        <w:rPr>
          <w:rFonts w:hint="eastAsia" w:cs="Helvetica" w:asciiTheme="minorEastAsia" w:hAnsiTheme="minorEastAsia" w:eastAsiaTheme="minorEastAsia"/>
          <w:b/>
          <w:color w:val="auto"/>
          <w:kern w:val="0"/>
          <w:sz w:val="36"/>
          <w:szCs w:val="36"/>
        </w:rPr>
        <w:t>需求书</w:t>
      </w:r>
    </w:p>
    <w:p w14:paraId="2F9C04C2">
      <w:pPr>
        <w:widowControl/>
        <w:spacing w:line="600" w:lineRule="exact"/>
        <w:jc w:val="center"/>
        <w:rPr>
          <w:rFonts w:cs="宋体" w:asciiTheme="minorEastAsia" w:hAnsiTheme="minorEastAsia" w:eastAsiaTheme="minorEastAsia"/>
          <w:b/>
          <w:bCs/>
          <w:color w:val="auto"/>
          <w:kern w:val="0"/>
          <w:szCs w:val="30"/>
        </w:rPr>
      </w:pPr>
    </w:p>
    <w:p w14:paraId="2CC0D9CB">
      <w:pPr>
        <w:widowControl/>
        <w:spacing w:line="600" w:lineRule="exact"/>
        <w:jc w:val="center"/>
        <w:rPr>
          <w:rFonts w:cs="宋体" w:asciiTheme="minorEastAsia" w:hAnsiTheme="minorEastAsia" w:eastAsiaTheme="minorEastAsia"/>
          <w:b/>
          <w:bCs/>
          <w:color w:val="auto"/>
          <w:kern w:val="0"/>
          <w:szCs w:val="30"/>
        </w:rPr>
      </w:pPr>
      <w:r>
        <w:rPr>
          <w:rFonts w:hint="eastAsia" w:cs="宋体" w:asciiTheme="minorEastAsia" w:hAnsiTheme="minorEastAsia" w:eastAsiaTheme="minorEastAsia"/>
          <w:b/>
          <w:bCs/>
          <w:color w:val="auto"/>
          <w:kern w:val="0"/>
          <w:szCs w:val="30"/>
        </w:rPr>
        <w:t>第一章 用户需求书</w:t>
      </w:r>
      <w:bookmarkEnd w:id="0"/>
    </w:p>
    <w:p w14:paraId="1939695F">
      <w:pPr>
        <w:widowControl/>
        <w:spacing w:line="360" w:lineRule="auto"/>
        <w:ind w:firstLine="562"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
          <w:bCs w:val="0"/>
          <w:color w:val="auto"/>
          <w:kern w:val="0"/>
          <w:sz w:val="28"/>
          <w:szCs w:val="28"/>
        </w:rPr>
        <w:t>一、项目基本情况</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0"/>
        <w:gridCol w:w="2280"/>
        <w:gridCol w:w="2280"/>
        <w:gridCol w:w="2136"/>
      </w:tblGrid>
      <w:tr w14:paraId="326561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82" w:type="dxa"/>
            <w:vAlign w:val="center"/>
          </w:tcPr>
          <w:p w14:paraId="2E8CC63D">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项目名称</w:t>
            </w:r>
          </w:p>
        </w:tc>
        <w:tc>
          <w:tcPr>
            <w:tcW w:w="2282" w:type="dxa"/>
            <w:vAlign w:val="center"/>
          </w:tcPr>
          <w:p w14:paraId="797E8C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江门市技师学院潮连校区运动场语音广播项目</w:t>
            </w:r>
          </w:p>
        </w:tc>
        <w:tc>
          <w:tcPr>
            <w:tcW w:w="2282" w:type="dxa"/>
            <w:vAlign w:val="center"/>
          </w:tcPr>
          <w:p w14:paraId="3383A09D">
            <w:pPr>
              <w:spacing w:line="360" w:lineRule="auto"/>
              <w:jc w:val="center"/>
              <w:rPr>
                <w:rFonts w:cs="宋体" w:asciiTheme="minorEastAsia" w:hAnsiTheme="minorEastAsia" w:eastAsiaTheme="minorEastAsia"/>
                <w:bCs/>
                <w:color w:val="auto"/>
                <w:kern w:val="0"/>
                <w:sz w:val="24"/>
                <w:szCs w:val="24"/>
              </w:rPr>
            </w:pPr>
            <w:r>
              <w:rPr>
                <w:rFonts w:hint="eastAsia" w:ascii="宋体" w:hAnsi="宋体" w:eastAsia="宋体" w:cs="宋体"/>
                <w:color w:val="auto"/>
                <w:sz w:val="24"/>
                <w:szCs w:val="24"/>
              </w:rPr>
              <w:t>项目编号</w:t>
            </w:r>
          </w:p>
        </w:tc>
        <w:tc>
          <w:tcPr>
            <w:tcW w:w="1810" w:type="dxa"/>
            <w:vAlign w:val="center"/>
          </w:tcPr>
          <w:p w14:paraId="0EB1DF89">
            <w:pPr>
              <w:spacing w:line="360" w:lineRule="auto"/>
              <w:jc w:val="center"/>
              <w:rPr>
                <w:rFonts w:hint="default" w:cs="宋体" w:asciiTheme="minorEastAsia" w:hAnsiTheme="minorEastAsia" w:eastAsiaTheme="minorEastAsia"/>
                <w:bCs/>
                <w:color w:val="auto"/>
                <w:kern w:val="0"/>
                <w:sz w:val="24"/>
                <w:szCs w:val="24"/>
                <w:lang w:val="en-US" w:eastAsia="zh-CN"/>
              </w:rPr>
            </w:pPr>
            <w:r>
              <w:rPr>
                <w:rFonts w:hint="eastAsia" w:cs="宋体" w:asciiTheme="minorEastAsia" w:hAnsiTheme="minorEastAsia" w:eastAsiaTheme="minorEastAsia"/>
                <w:bCs/>
                <w:color w:val="auto"/>
                <w:kern w:val="0"/>
                <w:sz w:val="24"/>
                <w:szCs w:val="24"/>
              </w:rPr>
              <w:t>zwb-</w:t>
            </w:r>
            <w:r>
              <w:rPr>
                <w:rFonts w:hint="eastAsia" w:cs="宋体" w:asciiTheme="minorEastAsia" w:hAnsiTheme="minorEastAsia" w:eastAsiaTheme="minorEastAsia"/>
                <w:bCs/>
                <w:color w:val="auto"/>
                <w:kern w:val="0"/>
                <w:sz w:val="24"/>
                <w:szCs w:val="24"/>
                <w:lang w:val="en-US" w:eastAsia="zh-CN"/>
              </w:rPr>
              <w:t>cgzx-</w:t>
            </w:r>
            <w:r>
              <w:rPr>
                <w:rFonts w:hint="eastAsia" w:cs="宋体" w:asciiTheme="minorEastAsia" w:hAnsiTheme="minorEastAsia" w:eastAsiaTheme="minorEastAsia"/>
                <w:bCs/>
                <w:color w:val="auto"/>
                <w:kern w:val="0"/>
                <w:sz w:val="24"/>
                <w:szCs w:val="24"/>
              </w:rPr>
              <w:t>202</w:t>
            </w:r>
            <w:r>
              <w:rPr>
                <w:rFonts w:hint="eastAsia" w:cs="宋体" w:asciiTheme="minorEastAsia" w:hAnsiTheme="minorEastAsia" w:eastAsiaTheme="minorEastAsia"/>
                <w:bCs/>
                <w:color w:val="auto"/>
                <w:kern w:val="0"/>
                <w:sz w:val="24"/>
                <w:szCs w:val="24"/>
                <w:lang w:val="en-US" w:eastAsia="zh-CN"/>
              </w:rPr>
              <w:t>5</w:t>
            </w:r>
            <w:r>
              <w:rPr>
                <w:rFonts w:hint="eastAsia" w:cs="宋体" w:asciiTheme="minorEastAsia" w:hAnsiTheme="minorEastAsia" w:eastAsiaTheme="minorEastAsia"/>
                <w:bCs/>
                <w:color w:val="auto"/>
                <w:kern w:val="0"/>
                <w:sz w:val="24"/>
                <w:szCs w:val="24"/>
              </w:rPr>
              <w:t>-</w:t>
            </w:r>
            <w:r>
              <w:rPr>
                <w:rFonts w:hint="eastAsia" w:cs="宋体" w:asciiTheme="minorEastAsia" w:hAnsiTheme="minorEastAsia" w:eastAsiaTheme="minorEastAsia"/>
                <w:bCs/>
                <w:color w:val="auto"/>
                <w:kern w:val="0"/>
                <w:sz w:val="24"/>
                <w:szCs w:val="24"/>
                <w:lang w:val="en-US" w:eastAsia="zh-CN"/>
              </w:rPr>
              <w:t>28</w:t>
            </w:r>
          </w:p>
        </w:tc>
      </w:tr>
      <w:tr w14:paraId="434BA4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82" w:type="dxa"/>
            <w:vAlign w:val="center"/>
          </w:tcPr>
          <w:p w14:paraId="5D0B4E68">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采购预算/最高限价</w:t>
            </w:r>
          </w:p>
        </w:tc>
        <w:tc>
          <w:tcPr>
            <w:tcW w:w="2282" w:type="dxa"/>
            <w:vAlign w:val="center"/>
          </w:tcPr>
          <w:p w14:paraId="47194670">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lang w:val="en-US" w:eastAsia="zh-CN"/>
              </w:rPr>
              <w:t>43304</w:t>
            </w:r>
            <w:r>
              <w:rPr>
                <w:rFonts w:hint="eastAsia" w:cs="宋体" w:asciiTheme="minorEastAsia" w:hAnsiTheme="minorEastAsia" w:eastAsiaTheme="minorEastAsia"/>
                <w:bCs/>
                <w:color w:val="auto"/>
                <w:kern w:val="0"/>
                <w:sz w:val="24"/>
                <w:szCs w:val="24"/>
              </w:rPr>
              <w:t>元</w:t>
            </w:r>
          </w:p>
        </w:tc>
        <w:tc>
          <w:tcPr>
            <w:tcW w:w="2282" w:type="dxa"/>
            <w:vAlign w:val="center"/>
          </w:tcPr>
          <w:p w14:paraId="50F7C940">
            <w:pPr>
              <w:spacing w:line="360" w:lineRule="auto"/>
              <w:jc w:val="center"/>
              <w:rPr>
                <w:rFonts w:cs="宋体" w:asciiTheme="minorEastAsia" w:hAnsiTheme="minorEastAsia" w:eastAsiaTheme="minorEastAsia"/>
                <w:bCs/>
                <w:color w:val="auto"/>
                <w:kern w:val="0"/>
                <w:sz w:val="24"/>
                <w:szCs w:val="24"/>
              </w:rPr>
            </w:pPr>
            <w:r>
              <w:rPr>
                <w:rFonts w:hint="eastAsia" w:ascii="宋体" w:hAnsi="宋体" w:eastAsia="宋体" w:cs="宋体"/>
                <w:color w:val="auto"/>
                <w:sz w:val="24"/>
              </w:rPr>
              <w:t>履行期限</w:t>
            </w:r>
          </w:p>
        </w:tc>
        <w:tc>
          <w:tcPr>
            <w:tcW w:w="1810" w:type="dxa"/>
            <w:vAlign w:val="center"/>
          </w:tcPr>
          <w:p w14:paraId="5E9EFF79">
            <w:pPr>
              <w:spacing w:line="360" w:lineRule="auto"/>
              <w:jc w:val="center"/>
              <w:rPr>
                <w:rFonts w:cs="宋体" w:asciiTheme="minorEastAsia" w:hAnsiTheme="minorEastAsia" w:eastAsiaTheme="minorEastAsia"/>
                <w:bCs/>
                <w:color w:val="auto"/>
                <w:kern w:val="0"/>
                <w:sz w:val="24"/>
                <w:szCs w:val="24"/>
              </w:rPr>
            </w:pPr>
            <w:bookmarkStart w:id="2" w:name="_GoBack"/>
            <w:bookmarkEnd w:id="2"/>
            <w:r>
              <w:rPr>
                <w:rFonts w:hint="eastAsia" w:asciiTheme="minorEastAsia" w:hAnsiTheme="minorEastAsia" w:eastAsiaTheme="minorEastAsia"/>
                <w:color w:val="auto"/>
                <w:kern w:val="28"/>
                <w:sz w:val="24"/>
                <w:szCs w:val="24"/>
                <w:lang w:val="en-US" w:eastAsia="zh-CN"/>
              </w:rPr>
              <w:t>7</w:t>
            </w:r>
            <w:r>
              <w:rPr>
                <w:rFonts w:hint="eastAsia" w:asciiTheme="minorEastAsia" w:hAnsiTheme="minorEastAsia" w:eastAsiaTheme="minorEastAsia"/>
                <w:color w:val="auto"/>
                <w:kern w:val="28"/>
                <w:sz w:val="24"/>
                <w:szCs w:val="24"/>
              </w:rPr>
              <w:t>个日历日内完成</w:t>
            </w:r>
          </w:p>
        </w:tc>
      </w:tr>
      <w:tr w14:paraId="36DA8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82" w:type="dxa"/>
            <w:vAlign w:val="center"/>
          </w:tcPr>
          <w:p w14:paraId="56BBC1B8">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评标办法</w:t>
            </w:r>
          </w:p>
        </w:tc>
        <w:tc>
          <w:tcPr>
            <w:tcW w:w="2282" w:type="dxa"/>
            <w:vAlign w:val="center"/>
          </w:tcPr>
          <w:p w14:paraId="4EC765CB">
            <w:pPr>
              <w:spacing w:line="360" w:lineRule="auto"/>
              <w:jc w:val="center"/>
              <w:rPr>
                <w:rFonts w:cs="宋体" w:asciiTheme="minorEastAsia" w:hAnsiTheme="minorEastAsia" w:eastAsiaTheme="minorEastAsia"/>
                <w:bCs/>
                <w:color w:val="auto"/>
                <w:kern w:val="0"/>
                <w:sz w:val="24"/>
                <w:szCs w:val="24"/>
              </w:rPr>
            </w:pPr>
            <w:r>
              <w:rPr>
                <w:rFonts w:hint="eastAsia" w:asciiTheme="minorEastAsia" w:hAnsiTheme="minorEastAsia" w:eastAsiaTheme="minorEastAsia"/>
                <w:color w:val="auto"/>
                <w:kern w:val="28"/>
                <w:sz w:val="24"/>
                <w:szCs w:val="24"/>
              </w:rPr>
              <w:t>综合评分法</w:t>
            </w:r>
          </w:p>
        </w:tc>
        <w:tc>
          <w:tcPr>
            <w:tcW w:w="2282" w:type="dxa"/>
            <w:vAlign w:val="center"/>
          </w:tcPr>
          <w:p w14:paraId="48FEEF8D">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现场踏勘</w:t>
            </w:r>
          </w:p>
        </w:tc>
        <w:tc>
          <w:tcPr>
            <w:tcW w:w="1810" w:type="dxa"/>
            <w:vAlign w:val="center"/>
          </w:tcPr>
          <w:p w14:paraId="594F7818">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是</w:t>
            </w:r>
          </w:p>
        </w:tc>
      </w:tr>
      <w:tr w14:paraId="653BD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82" w:type="dxa"/>
            <w:vAlign w:val="center"/>
          </w:tcPr>
          <w:p w14:paraId="28674333">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联系人</w:t>
            </w:r>
          </w:p>
        </w:tc>
        <w:tc>
          <w:tcPr>
            <w:tcW w:w="2282" w:type="dxa"/>
            <w:vAlign w:val="center"/>
          </w:tcPr>
          <w:p w14:paraId="63FDE145">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陈老师</w:t>
            </w:r>
          </w:p>
        </w:tc>
        <w:tc>
          <w:tcPr>
            <w:tcW w:w="2282" w:type="dxa"/>
            <w:vAlign w:val="center"/>
          </w:tcPr>
          <w:p w14:paraId="60BC3493">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联系电话</w:t>
            </w:r>
          </w:p>
        </w:tc>
        <w:tc>
          <w:tcPr>
            <w:tcW w:w="1810" w:type="dxa"/>
            <w:vAlign w:val="center"/>
          </w:tcPr>
          <w:p w14:paraId="4BF90AEC">
            <w:pPr>
              <w:spacing w:line="360" w:lineRule="auto"/>
              <w:jc w:val="center"/>
              <w:rPr>
                <w:rFonts w:hint="default" w:cs="宋体" w:asciiTheme="minorEastAsia" w:hAnsiTheme="minorEastAsia" w:eastAsiaTheme="minorEastAsia"/>
                <w:bCs/>
                <w:color w:val="auto"/>
                <w:kern w:val="0"/>
                <w:sz w:val="24"/>
                <w:szCs w:val="24"/>
                <w:lang w:val="en-US" w:eastAsia="zh-CN"/>
              </w:rPr>
            </w:pPr>
            <w:r>
              <w:rPr>
                <w:rFonts w:hint="eastAsia" w:cs="宋体" w:asciiTheme="minorEastAsia" w:hAnsiTheme="minorEastAsia" w:eastAsiaTheme="minorEastAsia"/>
                <w:bCs/>
                <w:color w:val="auto"/>
                <w:kern w:val="0"/>
                <w:sz w:val="24"/>
                <w:szCs w:val="24"/>
              </w:rPr>
              <w:t>0750-</w:t>
            </w:r>
            <w:r>
              <w:rPr>
                <w:rFonts w:hint="eastAsia" w:cs="宋体" w:asciiTheme="minorEastAsia" w:hAnsiTheme="minorEastAsia" w:eastAsiaTheme="minorEastAsia"/>
                <w:bCs/>
                <w:color w:val="auto"/>
                <w:kern w:val="0"/>
                <w:sz w:val="24"/>
                <w:szCs w:val="24"/>
                <w:lang w:val="en-US" w:eastAsia="zh-CN"/>
              </w:rPr>
              <w:t>3882809</w:t>
            </w:r>
          </w:p>
        </w:tc>
      </w:tr>
    </w:tbl>
    <w:p w14:paraId="37171C45">
      <w:pPr>
        <w:widowControl/>
        <w:spacing w:line="360" w:lineRule="auto"/>
        <w:ind w:firstLine="562" w:firstLineChars="200"/>
        <w:rPr>
          <w:rFonts w:hint="eastAsia" w:cs="宋体" w:asciiTheme="minorEastAsia" w:hAnsiTheme="minorEastAsia" w:eastAsiaTheme="minorEastAsia"/>
          <w:b/>
          <w:bCs w:val="0"/>
          <w:color w:val="auto"/>
          <w:kern w:val="0"/>
          <w:sz w:val="28"/>
          <w:szCs w:val="28"/>
          <w:lang w:val="en-US" w:eastAsia="zh-CN"/>
        </w:rPr>
      </w:pPr>
      <w:bookmarkStart w:id="1" w:name="_Toc28374"/>
      <w:r>
        <w:rPr>
          <w:rFonts w:hint="eastAsia" w:cs="宋体" w:asciiTheme="minorEastAsia" w:hAnsiTheme="minorEastAsia" w:eastAsiaTheme="minorEastAsia"/>
          <w:b/>
          <w:bCs w:val="0"/>
          <w:color w:val="auto"/>
          <w:kern w:val="0"/>
          <w:sz w:val="28"/>
          <w:szCs w:val="28"/>
          <w:lang w:val="en-US" w:eastAsia="zh-CN"/>
        </w:rPr>
        <w:t>二、项目背景</w:t>
      </w:r>
    </w:p>
    <w:p w14:paraId="689BA0C0">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outlineLvl w:val="1"/>
        <w:rPr>
          <w:rFonts w:hint="eastAsia" w:cs="宋体" w:asciiTheme="minorEastAsia" w:hAnsiTheme="minorEastAsia" w:eastAsiaTheme="minorEastAsia"/>
          <w:bCs/>
          <w:color w:val="auto"/>
          <w:kern w:val="0"/>
          <w:sz w:val="28"/>
          <w:szCs w:val="28"/>
          <w:lang w:val="en-US" w:eastAsia="zh-CN" w:bidi="ar-SA"/>
        </w:rPr>
      </w:pPr>
      <w:r>
        <w:rPr>
          <w:rFonts w:hint="eastAsia" w:cs="宋体" w:asciiTheme="minorEastAsia" w:hAnsiTheme="minorEastAsia" w:eastAsiaTheme="minorEastAsia"/>
          <w:bCs/>
          <w:color w:val="auto"/>
          <w:kern w:val="0"/>
          <w:sz w:val="28"/>
          <w:szCs w:val="28"/>
          <w:lang w:val="en-US" w:eastAsia="zh-CN" w:bidi="ar-SA"/>
        </w:rPr>
        <w:t>随着江门市技师学院潮连校区体育教学、升国旗、运动会、日常活动的日益丰富，现有的运动场音频设备只能依靠校园广播音频输入，无法满足日常各类活动的需求。为保障教学训练、升国旗、赛事活动的顺利开展，营造良好的运动氛围，提升校园信息化水平，现规划建设运动场语音广播项目，为校区运动场打造一套功能完善、性能稳定的语音广播系统。</w:t>
      </w:r>
    </w:p>
    <w:p w14:paraId="714AD6A1">
      <w:pPr>
        <w:widowControl/>
        <w:spacing w:line="360" w:lineRule="auto"/>
        <w:ind w:firstLine="562" w:firstLineChars="200"/>
        <w:rPr>
          <w:rFonts w:hint="eastAsia" w:cs="宋体" w:asciiTheme="minorEastAsia" w:hAnsiTheme="minorEastAsia" w:eastAsiaTheme="minorEastAsia"/>
          <w:bCs/>
          <w:color w:val="auto"/>
          <w:kern w:val="0"/>
          <w:sz w:val="28"/>
          <w:szCs w:val="28"/>
          <w:lang w:val="en-US" w:eastAsia="zh-CN" w:bidi="ar-SA"/>
        </w:rPr>
      </w:pPr>
      <w:r>
        <w:rPr>
          <w:rFonts w:hint="eastAsia" w:cs="宋体" w:asciiTheme="minorEastAsia" w:hAnsiTheme="minorEastAsia" w:eastAsiaTheme="minorEastAsia"/>
          <w:b/>
          <w:bCs w:val="0"/>
          <w:color w:val="auto"/>
          <w:kern w:val="0"/>
          <w:sz w:val="28"/>
          <w:szCs w:val="28"/>
          <w:lang w:val="en-US" w:eastAsia="zh-CN"/>
        </w:rPr>
        <w:t>三、建设目标</w:t>
      </w:r>
    </w:p>
    <w:p w14:paraId="38C3A202">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outlineLvl w:val="1"/>
        <w:rPr>
          <w:rFonts w:hint="eastAsia" w:cs="宋体" w:asciiTheme="minorEastAsia" w:hAnsiTheme="minorEastAsia" w:eastAsiaTheme="minorEastAsia"/>
          <w:bCs/>
          <w:color w:val="auto"/>
          <w:kern w:val="0"/>
          <w:sz w:val="28"/>
          <w:szCs w:val="28"/>
          <w:lang w:val="en-US" w:eastAsia="zh-CN" w:bidi="ar-SA"/>
        </w:rPr>
      </w:pPr>
      <w:r>
        <w:rPr>
          <w:rFonts w:hint="eastAsia" w:cs="宋体" w:asciiTheme="minorEastAsia" w:hAnsiTheme="minorEastAsia" w:eastAsiaTheme="minorEastAsia"/>
          <w:bCs/>
          <w:color w:val="auto"/>
          <w:kern w:val="0"/>
          <w:sz w:val="28"/>
          <w:szCs w:val="28"/>
          <w:lang w:val="en-US" w:eastAsia="zh-CN" w:bidi="ar-SA"/>
        </w:rPr>
        <w:t>（一）构建覆盖整个潮连校区运动场区域的语音广播网络，实现声音清晰、无死角传播。</w:t>
      </w:r>
    </w:p>
    <w:p w14:paraId="37380DE6">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outlineLvl w:val="1"/>
        <w:rPr>
          <w:rFonts w:hint="eastAsia" w:cs="宋体" w:asciiTheme="minorEastAsia" w:hAnsiTheme="minorEastAsia" w:eastAsiaTheme="minorEastAsia"/>
          <w:bCs/>
          <w:color w:val="auto"/>
          <w:kern w:val="0"/>
          <w:sz w:val="28"/>
          <w:szCs w:val="28"/>
          <w:lang w:val="en-US" w:eastAsia="zh-CN" w:bidi="ar-SA"/>
        </w:rPr>
      </w:pPr>
      <w:r>
        <w:rPr>
          <w:rFonts w:hint="eastAsia" w:cs="宋体" w:asciiTheme="minorEastAsia" w:hAnsiTheme="minorEastAsia" w:eastAsiaTheme="minorEastAsia"/>
          <w:bCs/>
          <w:color w:val="auto"/>
          <w:kern w:val="0"/>
          <w:sz w:val="28"/>
          <w:szCs w:val="28"/>
          <w:lang w:val="en-US" w:eastAsia="zh-CN" w:bidi="ar-SA"/>
        </w:rPr>
        <w:t>（二）满足日常体育教学、升国旗、运动会、校园活动等不同场景下的广播需求，具备背景音乐播放、通知播报、赛事解说等功能。</w:t>
      </w:r>
    </w:p>
    <w:p w14:paraId="51F37504">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outlineLvl w:val="1"/>
        <w:rPr>
          <w:rFonts w:hint="eastAsia" w:cs="宋体" w:asciiTheme="minorEastAsia" w:hAnsiTheme="minorEastAsia" w:eastAsiaTheme="minorEastAsia"/>
          <w:bCs/>
          <w:color w:val="auto"/>
          <w:kern w:val="0"/>
          <w:sz w:val="28"/>
          <w:szCs w:val="28"/>
          <w:lang w:val="en-US" w:eastAsia="zh-CN" w:bidi="ar-SA"/>
        </w:rPr>
      </w:pPr>
      <w:r>
        <w:rPr>
          <w:rFonts w:hint="eastAsia" w:cs="宋体" w:asciiTheme="minorEastAsia" w:hAnsiTheme="minorEastAsia" w:eastAsiaTheme="minorEastAsia"/>
          <w:bCs/>
          <w:color w:val="auto"/>
          <w:kern w:val="0"/>
          <w:sz w:val="28"/>
          <w:szCs w:val="28"/>
          <w:lang w:val="en-US" w:eastAsia="zh-CN" w:bidi="ar-SA"/>
        </w:rPr>
        <w:t>（三）采用先进、成熟的技术和设备，确保系统运行稳定可靠，操作简便，便于后期维护与管理。</w:t>
      </w:r>
    </w:p>
    <w:p w14:paraId="53F37AE3">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outlineLvl w:val="1"/>
        <w:rPr>
          <w:rFonts w:hint="eastAsia" w:cs="宋体" w:asciiTheme="minorEastAsia" w:hAnsiTheme="minorEastAsia" w:eastAsiaTheme="minorEastAsia"/>
          <w:bCs/>
          <w:color w:val="auto"/>
          <w:kern w:val="0"/>
          <w:sz w:val="28"/>
          <w:szCs w:val="28"/>
          <w:lang w:val="en-US" w:eastAsia="zh-CN" w:bidi="ar-SA"/>
        </w:rPr>
      </w:pPr>
      <w:r>
        <w:rPr>
          <w:rFonts w:hint="eastAsia" w:cs="宋体" w:asciiTheme="minorEastAsia" w:hAnsiTheme="minorEastAsia" w:eastAsiaTheme="minorEastAsia"/>
          <w:bCs/>
          <w:color w:val="auto"/>
          <w:kern w:val="0"/>
          <w:sz w:val="28"/>
          <w:szCs w:val="28"/>
          <w:lang w:val="en-US" w:eastAsia="zh-CN" w:bidi="ar-SA"/>
        </w:rPr>
        <w:t>（四）使广播系统与运动场整体环境相融合，在满足功能需求的同时，不影响运动场美观。</w:t>
      </w:r>
    </w:p>
    <w:p w14:paraId="38A16831">
      <w:pPr>
        <w:widowControl/>
        <w:spacing w:line="360" w:lineRule="auto"/>
        <w:ind w:firstLine="562" w:firstLineChars="200"/>
        <w:rPr>
          <w:rFonts w:hint="default" w:cs="宋体" w:asciiTheme="minorEastAsia" w:hAnsiTheme="minorEastAsia" w:eastAsiaTheme="minorEastAsia"/>
          <w:b/>
          <w:bCs w:val="0"/>
          <w:color w:val="auto"/>
          <w:kern w:val="0"/>
          <w:sz w:val="28"/>
          <w:szCs w:val="28"/>
          <w:lang w:val="en-US" w:eastAsia="zh-CN"/>
        </w:rPr>
      </w:pPr>
      <w:r>
        <w:rPr>
          <w:rFonts w:hint="eastAsia" w:cs="宋体" w:asciiTheme="minorEastAsia" w:hAnsiTheme="minorEastAsia" w:eastAsiaTheme="minorEastAsia"/>
          <w:b/>
          <w:bCs w:val="0"/>
          <w:color w:val="auto"/>
          <w:kern w:val="0"/>
          <w:sz w:val="28"/>
          <w:szCs w:val="28"/>
          <w:lang w:val="en-US" w:eastAsia="zh-CN"/>
        </w:rPr>
        <w:t>四、功能要求</w:t>
      </w:r>
    </w:p>
    <w:p w14:paraId="78170A62">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outlineLvl w:val="1"/>
        <w:rPr>
          <w:rFonts w:hint="eastAsia" w:cs="宋体" w:asciiTheme="minorEastAsia" w:hAnsiTheme="minorEastAsia" w:eastAsiaTheme="minorEastAsia"/>
          <w:bCs/>
          <w:color w:val="auto"/>
          <w:kern w:val="0"/>
          <w:sz w:val="28"/>
          <w:szCs w:val="28"/>
          <w:lang w:val="en-US" w:eastAsia="zh-CN" w:bidi="ar-SA"/>
        </w:rPr>
      </w:pPr>
      <w:r>
        <w:rPr>
          <w:rFonts w:hint="eastAsia" w:cs="宋体" w:asciiTheme="minorEastAsia" w:hAnsiTheme="minorEastAsia" w:eastAsiaTheme="minorEastAsia"/>
          <w:bCs/>
          <w:color w:val="auto"/>
          <w:kern w:val="0"/>
          <w:sz w:val="28"/>
          <w:szCs w:val="28"/>
          <w:lang w:val="en-US" w:eastAsia="zh-CN" w:bidi="ar-SA"/>
        </w:rPr>
        <w:t>（一）区域覆盖需求：潮连校区运动场包含跑道、足球场等多个区域，需根据不同区域的面积、形状和使用功能，合理布置广播设备，保证声音均匀覆盖，避免出现声音盲区。</w:t>
      </w:r>
    </w:p>
    <w:p w14:paraId="376151BB">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outlineLvl w:val="1"/>
        <w:rPr>
          <w:rFonts w:hint="eastAsia" w:cs="宋体" w:asciiTheme="minorEastAsia" w:hAnsiTheme="minorEastAsia" w:eastAsiaTheme="minorEastAsia"/>
          <w:bCs/>
          <w:color w:val="auto"/>
          <w:kern w:val="0"/>
          <w:sz w:val="28"/>
          <w:szCs w:val="28"/>
          <w:lang w:val="en-US" w:eastAsia="zh-CN" w:bidi="ar-SA"/>
        </w:rPr>
      </w:pPr>
      <w:r>
        <w:rPr>
          <w:rFonts w:hint="eastAsia" w:cs="宋体" w:asciiTheme="minorEastAsia" w:hAnsiTheme="minorEastAsia" w:eastAsiaTheme="minorEastAsia"/>
          <w:bCs/>
          <w:color w:val="auto"/>
          <w:kern w:val="0"/>
          <w:sz w:val="28"/>
          <w:szCs w:val="28"/>
          <w:lang w:val="en-US" w:eastAsia="zh-CN" w:bidi="ar-SA"/>
        </w:rPr>
        <w:t>（二）日常教学：支持教师在体育教学过程中，清晰传达教学指令、讲解动作要领，辅助教学活动顺利开展。</w:t>
      </w:r>
    </w:p>
    <w:p w14:paraId="58C72474">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outlineLvl w:val="1"/>
        <w:rPr>
          <w:rFonts w:hint="eastAsia" w:cs="宋体" w:asciiTheme="minorEastAsia" w:hAnsiTheme="minorEastAsia" w:eastAsiaTheme="minorEastAsia"/>
          <w:bCs/>
          <w:color w:val="auto"/>
          <w:kern w:val="0"/>
          <w:sz w:val="28"/>
          <w:szCs w:val="28"/>
          <w:lang w:val="en-US" w:eastAsia="zh-CN" w:bidi="ar-SA"/>
        </w:rPr>
      </w:pPr>
      <w:r>
        <w:rPr>
          <w:rFonts w:hint="eastAsia" w:cs="宋体" w:asciiTheme="minorEastAsia" w:hAnsiTheme="minorEastAsia" w:eastAsiaTheme="minorEastAsia"/>
          <w:bCs/>
          <w:color w:val="auto"/>
          <w:kern w:val="0"/>
          <w:sz w:val="28"/>
          <w:szCs w:val="28"/>
          <w:lang w:val="en-US" w:eastAsia="zh-CN" w:bidi="ar-SA"/>
        </w:rPr>
        <w:t>（三）赛事活动：在升国旗、运动会、球类比赛等活动中，能够进行实时赛事解说、成绩播报、背景音乐播放，营造热烈的活动氛围。</w:t>
      </w:r>
    </w:p>
    <w:p w14:paraId="6E8992B4">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outlineLvl w:val="1"/>
        <w:rPr>
          <w:rFonts w:hint="eastAsia" w:cs="宋体" w:asciiTheme="minorEastAsia" w:hAnsiTheme="minorEastAsia" w:eastAsiaTheme="minorEastAsia"/>
          <w:bCs/>
          <w:color w:val="auto"/>
          <w:kern w:val="0"/>
          <w:sz w:val="28"/>
          <w:szCs w:val="28"/>
          <w:lang w:val="en-US" w:eastAsia="zh-CN" w:bidi="ar-SA"/>
        </w:rPr>
      </w:pPr>
      <w:r>
        <w:rPr>
          <w:rFonts w:hint="eastAsia" w:cs="宋体" w:asciiTheme="minorEastAsia" w:hAnsiTheme="minorEastAsia" w:eastAsiaTheme="minorEastAsia"/>
          <w:bCs/>
          <w:color w:val="auto"/>
          <w:kern w:val="0"/>
          <w:sz w:val="28"/>
          <w:szCs w:val="28"/>
          <w:lang w:val="en-US" w:eastAsia="zh-CN" w:bidi="ar-SA"/>
        </w:rPr>
        <w:t>（四）紧急通知：在突发情况下，可快速、准确地发布紧急通知和疏散指令，保障师生安全。</w:t>
      </w:r>
    </w:p>
    <w:p w14:paraId="0E91121F">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outlineLvl w:val="1"/>
        <w:rPr>
          <w:rFonts w:hint="eastAsia" w:cs="宋体" w:asciiTheme="minorEastAsia" w:hAnsiTheme="minorEastAsia" w:eastAsiaTheme="minorEastAsia"/>
          <w:bCs/>
          <w:color w:val="auto"/>
          <w:kern w:val="0"/>
          <w:sz w:val="28"/>
          <w:szCs w:val="28"/>
          <w:lang w:val="en-US" w:eastAsia="zh-CN" w:bidi="ar-SA"/>
        </w:rPr>
      </w:pPr>
      <w:r>
        <w:rPr>
          <w:rFonts w:hint="eastAsia" w:cs="宋体" w:asciiTheme="minorEastAsia" w:hAnsiTheme="minorEastAsia" w:eastAsiaTheme="minorEastAsia"/>
          <w:bCs/>
          <w:color w:val="auto"/>
          <w:kern w:val="0"/>
          <w:sz w:val="28"/>
          <w:szCs w:val="28"/>
          <w:lang w:val="en-US" w:eastAsia="zh-CN" w:bidi="ar-SA"/>
        </w:rPr>
        <w:t>（五）音质需求：要求广播声音清晰、饱满，无杂音、失真现象，在不同环境噪声条件下，都能保证语音可懂度，满足各类活动对音质的要求。</w:t>
      </w:r>
    </w:p>
    <w:bookmarkEnd w:id="1"/>
    <w:p w14:paraId="08C1F5B2">
      <w:pPr>
        <w:widowControl/>
        <w:spacing w:line="360" w:lineRule="auto"/>
        <w:ind w:firstLine="562"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
          <w:bCs w:val="0"/>
          <w:color w:val="auto"/>
          <w:kern w:val="0"/>
          <w:sz w:val="28"/>
          <w:szCs w:val="28"/>
          <w:lang w:val="en-US" w:eastAsia="zh-CN"/>
        </w:rPr>
        <w:t>五、投标人资格条件要求</w:t>
      </w:r>
    </w:p>
    <w:p w14:paraId="3820E365">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1.投标人应具备《中华人民共和国政府采购法》第二十二条规定的条件；</w:t>
      </w:r>
    </w:p>
    <w:p w14:paraId="3B09AE41">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cs="宋体" w:asciiTheme="minorEastAsia" w:hAnsiTheme="minorEastAsia" w:eastAsiaTheme="minorEastAsia"/>
          <w:bCs/>
          <w:color w:val="auto"/>
          <w:kern w:val="0"/>
          <w:sz w:val="28"/>
          <w:szCs w:val="28"/>
          <w:lang w:eastAsia="zh-CN"/>
        </w:rPr>
      </w:pPr>
      <w:r>
        <w:rPr>
          <w:rFonts w:hint="eastAsia" w:cs="宋体" w:asciiTheme="minorEastAsia" w:hAnsiTheme="minorEastAsia" w:eastAsiaTheme="minorEastAsia"/>
          <w:bCs/>
          <w:color w:val="auto"/>
          <w:kern w:val="0"/>
          <w:sz w:val="28"/>
          <w:szCs w:val="28"/>
        </w:rPr>
        <w:t>2.营业执照经营范围须与本项目相符</w:t>
      </w:r>
      <w:r>
        <w:rPr>
          <w:rFonts w:hint="eastAsia" w:cs="宋体" w:asciiTheme="minorEastAsia" w:hAnsiTheme="minorEastAsia" w:eastAsiaTheme="minorEastAsia"/>
          <w:bCs/>
          <w:color w:val="auto"/>
          <w:kern w:val="0"/>
          <w:sz w:val="28"/>
          <w:szCs w:val="28"/>
          <w:lang w:eastAsia="zh-CN"/>
        </w:rPr>
        <w:t>。</w:t>
      </w:r>
    </w:p>
    <w:p w14:paraId="43326DF7">
      <w:pPr>
        <w:spacing w:line="360" w:lineRule="auto"/>
        <w:ind w:firstLine="560" w:firstLineChars="200"/>
        <w:rPr>
          <w:rFonts w:hint="eastAsia" w:cs="宋体" w:asciiTheme="minorEastAsia" w:hAnsiTheme="minorEastAsia" w:eastAsiaTheme="minorEastAsia"/>
          <w:bCs/>
          <w:color w:val="auto"/>
          <w:kern w:val="0"/>
          <w:sz w:val="28"/>
          <w:szCs w:val="28"/>
          <w:lang w:eastAsia="zh-CN"/>
        </w:rPr>
      </w:pPr>
      <w:r>
        <w:rPr>
          <w:rFonts w:hint="eastAsia" w:cs="宋体" w:asciiTheme="minorEastAsia" w:hAnsiTheme="minorEastAsia" w:eastAsiaTheme="minorEastAsia"/>
          <w:bCs/>
          <w:color w:val="auto"/>
          <w:kern w:val="0"/>
          <w:sz w:val="28"/>
          <w:szCs w:val="28"/>
        </w:rPr>
        <w:t>3.单位负责人为同一人或者存在直接控股、管理关系的不同供应商，不得同时参加本采购项目投标。</w:t>
      </w:r>
    </w:p>
    <w:p w14:paraId="23608F0F">
      <w:pPr>
        <w:widowControl/>
        <w:spacing w:line="360" w:lineRule="auto"/>
        <w:ind w:firstLine="562"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
          <w:bCs w:val="0"/>
          <w:color w:val="auto"/>
          <w:kern w:val="0"/>
          <w:sz w:val="28"/>
          <w:szCs w:val="28"/>
          <w:lang w:val="en-US" w:eastAsia="zh-CN"/>
        </w:rPr>
        <w:t>六、现场踏勘</w:t>
      </w:r>
    </w:p>
    <w:p w14:paraId="6C409534">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1.本项目在公示期内（节假日除外）每天上午10：00～11：00时（其他时段不受理）接受电话预约。业务联系人：陈老师 电话：0750-3882809。</w:t>
      </w:r>
    </w:p>
    <w:p w14:paraId="5A1C388A">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2.投标人按约定时间在校门口等待（江门市潮连环岛西路22号），由总务部工作人员带领现场勘察。</w:t>
      </w:r>
    </w:p>
    <w:p w14:paraId="26DDD96C">
      <w:pPr>
        <w:keepNext w:val="0"/>
        <w:keepLines w:val="0"/>
        <w:pageBreakBefore w:val="0"/>
        <w:widowControl w:val="0"/>
        <w:kinsoku/>
        <w:wordWrap/>
        <w:overflowPunct/>
        <w:topLinePunct w:val="0"/>
        <w:autoSpaceDE/>
        <w:autoSpaceDN/>
        <w:bidi w:val="0"/>
        <w:adjustRightInd/>
        <w:spacing w:line="440" w:lineRule="exact"/>
        <w:ind w:firstLine="562" w:firstLineChars="200"/>
        <w:textAlignment w:val="auto"/>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
          <w:bCs w:val="0"/>
          <w:color w:val="auto"/>
          <w:kern w:val="0"/>
          <w:sz w:val="28"/>
          <w:szCs w:val="28"/>
          <w:lang w:val="en-US" w:eastAsia="zh-CN"/>
        </w:rPr>
        <w:t>七、报价要求。</w:t>
      </w:r>
      <w:r>
        <w:rPr>
          <w:rFonts w:hint="eastAsia" w:cs="宋体" w:asciiTheme="minorEastAsia" w:hAnsiTheme="minorEastAsia" w:eastAsiaTheme="minorEastAsia"/>
          <w:bCs/>
          <w:color w:val="auto"/>
          <w:kern w:val="0"/>
          <w:sz w:val="28"/>
          <w:szCs w:val="28"/>
        </w:rPr>
        <w:t>本项目为总价包干（包括但不限于</w:t>
      </w:r>
      <w:r>
        <w:rPr>
          <w:rFonts w:hint="eastAsia" w:cs="宋体" w:asciiTheme="minorEastAsia" w:hAnsiTheme="minorEastAsia" w:eastAsiaTheme="minorEastAsia"/>
          <w:bCs/>
          <w:color w:val="auto"/>
          <w:kern w:val="0"/>
          <w:sz w:val="28"/>
          <w:szCs w:val="28"/>
          <w:lang w:val="en-US" w:eastAsia="zh-CN"/>
        </w:rPr>
        <w:t>设备、</w:t>
      </w:r>
      <w:r>
        <w:rPr>
          <w:rFonts w:hint="eastAsia" w:cs="宋体" w:asciiTheme="minorEastAsia" w:hAnsiTheme="minorEastAsia" w:eastAsiaTheme="minorEastAsia"/>
          <w:bCs/>
          <w:color w:val="auto"/>
          <w:kern w:val="0"/>
          <w:sz w:val="28"/>
          <w:szCs w:val="28"/>
        </w:rPr>
        <w:t>运费、材料费、工具设备费、安装调试费、包装费、检测费、</w:t>
      </w:r>
      <w:r>
        <w:rPr>
          <w:rFonts w:hint="eastAsia" w:cs="宋体" w:asciiTheme="minorEastAsia" w:hAnsiTheme="minorEastAsia" w:eastAsiaTheme="minorEastAsia"/>
          <w:bCs/>
          <w:color w:val="auto"/>
          <w:kern w:val="0"/>
          <w:sz w:val="28"/>
          <w:szCs w:val="28"/>
          <w:lang w:val="en-US" w:eastAsia="zh-CN"/>
        </w:rPr>
        <w:t>系统软件升级、</w:t>
      </w:r>
      <w:r>
        <w:rPr>
          <w:rFonts w:hint="eastAsia" w:cs="宋体" w:asciiTheme="minorEastAsia" w:hAnsiTheme="minorEastAsia" w:eastAsiaTheme="minorEastAsia"/>
          <w:bCs/>
          <w:color w:val="auto"/>
          <w:kern w:val="0"/>
          <w:sz w:val="28"/>
          <w:szCs w:val="28"/>
        </w:rPr>
        <w:t>人工费、管理费、利润、不可预见费、其它项目费、税金等所有相关费用），本次报价结合现场勘察情况进行报价，所需的一切费用均计入报价，采购人不支付中标价以外的其他款项。</w:t>
      </w:r>
    </w:p>
    <w:p w14:paraId="62256A17">
      <w:pPr>
        <w:keepNext w:val="0"/>
        <w:keepLines w:val="0"/>
        <w:pageBreakBefore w:val="0"/>
        <w:widowControl w:val="0"/>
        <w:kinsoku/>
        <w:wordWrap/>
        <w:overflowPunct/>
        <w:topLinePunct w:val="0"/>
        <w:autoSpaceDE/>
        <w:autoSpaceDN/>
        <w:bidi w:val="0"/>
        <w:adjustRightInd/>
        <w:spacing w:line="440" w:lineRule="exact"/>
        <w:ind w:firstLine="562" w:firstLineChars="200"/>
        <w:textAlignment w:val="auto"/>
        <w:rPr>
          <w:rFonts w:hint="default" w:cs="宋体" w:asciiTheme="minorEastAsia" w:hAnsiTheme="minorEastAsia" w:eastAsiaTheme="minorEastAsia"/>
          <w:bCs/>
          <w:color w:val="auto"/>
          <w:kern w:val="0"/>
          <w:sz w:val="28"/>
          <w:szCs w:val="28"/>
          <w:lang w:val="en-US" w:eastAsia="zh-CN"/>
        </w:rPr>
      </w:pPr>
      <w:r>
        <w:rPr>
          <w:rFonts w:hint="eastAsia" w:cs="宋体" w:asciiTheme="minorEastAsia" w:hAnsiTheme="minorEastAsia" w:eastAsiaTheme="minorEastAsia"/>
          <w:b/>
          <w:bCs w:val="0"/>
          <w:color w:val="auto"/>
          <w:kern w:val="0"/>
          <w:sz w:val="28"/>
          <w:szCs w:val="28"/>
          <w:lang w:val="en-US" w:eastAsia="zh-CN"/>
        </w:rPr>
        <w:t>八、项目总工期</w:t>
      </w:r>
      <w:r>
        <w:rPr>
          <w:rFonts w:hint="eastAsia" w:cs="宋体" w:asciiTheme="minorEastAsia" w:hAnsiTheme="minorEastAsia" w:eastAsiaTheme="minorEastAsia"/>
          <w:bCs/>
          <w:color w:val="auto"/>
          <w:kern w:val="0"/>
          <w:sz w:val="28"/>
          <w:szCs w:val="28"/>
          <w:lang w:val="en-US" w:eastAsia="zh-CN"/>
        </w:rPr>
        <w:t xml:space="preserve">为： </w:t>
      </w:r>
      <w:r>
        <w:rPr>
          <w:rFonts w:hint="eastAsia" w:cs="宋体" w:asciiTheme="minorEastAsia" w:hAnsiTheme="minorEastAsia" w:eastAsiaTheme="minorEastAsia"/>
          <w:bCs/>
          <w:color w:val="auto"/>
          <w:kern w:val="0"/>
          <w:sz w:val="28"/>
          <w:szCs w:val="28"/>
        </w:rPr>
        <w:t>自合同签订并生效之日起</w:t>
      </w:r>
      <w:r>
        <w:rPr>
          <w:rFonts w:hint="eastAsia" w:cs="宋体" w:asciiTheme="minorEastAsia" w:hAnsiTheme="minorEastAsia" w:eastAsiaTheme="minorEastAsia"/>
          <w:bCs/>
          <w:color w:val="auto"/>
          <w:kern w:val="0"/>
          <w:sz w:val="28"/>
          <w:szCs w:val="28"/>
          <w:lang w:val="en-US" w:eastAsia="zh-CN"/>
        </w:rPr>
        <w:t>7</w:t>
      </w:r>
      <w:r>
        <w:rPr>
          <w:rFonts w:hint="eastAsia" w:cs="宋体" w:asciiTheme="minorEastAsia" w:hAnsiTheme="minorEastAsia" w:eastAsiaTheme="minorEastAsia"/>
          <w:bCs/>
          <w:color w:val="auto"/>
          <w:kern w:val="0"/>
          <w:sz w:val="28"/>
          <w:szCs w:val="28"/>
        </w:rPr>
        <w:t>个日历日内完成</w:t>
      </w:r>
      <w:r>
        <w:rPr>
          <w:rFonts w:hint="eastAsia" w:cs="宋体" w:asciiTheme="minorEastAsia" w:hAnsiTheme="minorEastAsia" w:eastAsiaTheme="minorEastAsia"/>
          <w:bCs/>
          <w:color w:val="auto"/>
          <w:kern w:val="0"/>
          <w:sz w:val="28"/>
          <w:szCs w:val="28"/>
          <w:lang w:val="en-US" w:eastAsia="zh-CN"/>
        </w:rPr>
        <w:t>。</w:t>
      </w:r>
    </w:p>
    <w:p w14:paraId="588E84A8">
      <w:pPr>
        <w:keepNext w:val="0"/>
        <w:keepLines w:val="0"/>
        <w:pageBreakBefore w:val="0"/>
        <w:widowControl w:val="0"/>
        <w:kinsoku/>
        <w:wordWrap/>
        <w:overflowPunct/>
        <w:topLinePunct w:val="0"/>
        <w:autoSpaceDE/>
        <w:autoSpaceDN/>
        <w:bidi w:val="0"/>
        <w:adjustRightInd/>
        <w:spacing w:line="440" w:lineRule="exact"/>
        <w:ind w:firstLine="562"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
          <w:bCs w:val="0"/>
          <w:color w:val="auto"/>
          <w:kern w:val="0"/>
          <w:sz w:val="28"/>
          <w:szCs w:val="28"/>
          <w:lang w:val="en-US" w:eastAsia="zh-CN"/>
        </w:rPr>
        <w:t>九</w:t>
      </w:r>
      <w:r>
        <w:rPr>
          <w:rFonts w:hint="eastAsia" w:cs="宋体" w:asciiTheme="minorEastAsia" w:hAnsiTheme="minorEastAsia" w:eastAsiaTheme="minorEastAsia"/>
          <w:b/>
          <w:bCs w:val="0"/>
          <w:color w:val="auto"/>
          <w:kern w:val="0"/>
          <w:sz w:val="28"/>
          <w:szCs w:val="28"/>
        </w:rPr>
        <w:t>、</w:t>
      </w:r>
      <w:r>
        <w:rPr>
          <w:rFonts w:hint="eastAsia" w:cs="宋体" w:asciiTheme="minorEastAsia" w:hAnsiTheme="minorEastAsia" w:eastAsiaTheme="minorEastAsia"/>
          <w:b/>
          <w:bCs w:val="0"/>
          <w:color w:val="auto"/>
          <w:kern w:val="0"/>
          <w:sz w:val="28"/>
          <w:szCs w:val="28"/>
          <w:lang w:val="en-US" w:eastAsia="zh-CN"/>
        </w:rPr>
        <w:t>项目</w:t>
      </w:r>
      <w:r>
        <w:rPr>
          <w:rFonts w:hint="eastAsia" w:cs="宋体" w:asciiTheme="minorEastAsia" w:hAnsiTheme="minorEastAsia" w:eastAsiaTheme="minorEastAsia"/>
          <w:b/>
          <w:bCs w:val="0"/>
          <w:color w:val="auto"/>
          <w:kern w:val="0"/>
          <w:sz w:val="28"/>
          <w:szCs w:val="28"/>
        </w:rPr>
        <w:t>需求</w:t>
      </w:r>
    </w:p>
    <w:p w14:paraId="19059C8E">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（一）采购项目技术规格、参数及要求</w:t>
      </w:r>
    </w:p>
    <w:p w14:paraId="3E708674">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1.货物详细设备要求及技术参数</w:t>
      </w:r>
    </w:p>
    <w:tbl>
      <w:tblPr>
        <w:tblStyle w:val="15"/>
        <w:tblW w:w="87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258"/>
        <w:gridCol w:w="5433"/>
        <w:gridCol w:w="708"/>
        <w:gridCol w:w="708"/>
      </w:tblGrid>
      <w:tr w14:paraId="1B69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47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EB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物资名称</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06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参数要求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74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7D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7D15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9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8D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广播音柱</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62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1.材料：优质户外防水音柱音色极佳，采用铝镁合金制作的外壳，可抵挡日晒、风吹、雨淋。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2.适用于室内外各种环境之中，如：公共场所、学校、车站等。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3.额定功率：≥120W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4.输入：70V/100V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5.阻抗：80Ω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6.灵敏度：92dB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7.频率响应：50Hz-18KHz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8.喇叭单元：4.5"×4  3"×1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9.防护等级：IPX6防水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10.产品尺寸：166mm*141*734mm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11.重量：7.48kg</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CA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B2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14:paraId="013C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CE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75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纯后级功放</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01B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1.标准机箱设计，2U铝合金面板，拉手+挂耳一体式设计，可与面板分离，适用于机柜或桌面安装。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2.专业噪声门控制输出信号，保证背景音乐的静噪。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3.智能电源管理功能，无信号时自动进入待机状态，待机功率小于3W，保障7×24小时不间断工作。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4.一个总音量调节旋钮，统一控制所有线路和话筒音量。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▲5.5路音源输入，其中3路标准线路信号，2路标准话筒信号。（投标需提供实物接口图片证明，并加盖厂商公章）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6.1路音源输出，可环接至下一台功放音频输入接口。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7.70V、100V定压输出，4-16Ω定阻输出。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额定功率：≥1500W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输出方式：70V，100V，4-16Ω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输入灵敏度/阻抗：MIC1，2：5mV/600Ω，不平衡TS端子输入。AUX1，2，3：350mV/10KΩ，不平衡RCA端子输入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输出灵敏度/阻抗：1000mV/470Ω，不平衡TS端子输出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过载源电动势：MIC1，2：&gt;12dB，不平衡TRS端子输入。AUX1，2，3：&gt;20dB，不平衡RCA端子输入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频率响应：50-16KHz（+1dB， -3dB）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信噪比：MIC1，2：66dB。AUX1，2，3：80dB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总谐波失真：1KHz时0.5%，1/3输出功率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通道串音衰减：50dB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散热：由前往后强制风冷，散热器温度55度时启动内置风扇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保护：过热，过载&amp;短路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电源：AC 220V/50Hz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最大耗散功率：2000W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产品尺寸（W×H×D）：484×95×460mm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重量：38kg</w:t>
            </w:r>
          </w:p>
          <w:p w14:paraId="372F26BC">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▲9、所投设备生产厂家的纯后级功放必须拥有自主的知识产权，要求提供“定压功放控制软件”的相关技术证明或自主产权证明文件（复印件并加盖生产厂商鲜章）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D5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1C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500E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79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89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前置放大器</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E0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▲1、1U机柜式、电源开关防触碰设计；双层双色双拼前面板，设备散热均匀，有效延长使用寿命。（投标时提供实物图片证明，并加盖厂商公章）</w:t>
            </w:r>
          </w:p>
          <w:p w14:paraId="5B615E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10个输入通道:包括4路XLR、TRS二合一接口话筒(MIC)输入，1路TRS接口强切话筒(MIC)输入，3路标准信号线路(AUX)输入，2路紧急线路(EMC)输入。（要求提供第三方检验检测机构出具的此内容的检测报告（报告须有CNAS章）复印件，加盖生产企业公章）</w:t>
            </w:r>
          </w:p>
          <w:p w14:paraId="3187F8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3、≥2路线路输出，可接入下一台功放或其它音频设备输入接口。</w:t>
            </w:r>
          </w:p>
          <w:p w14:paraId="7766A6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4、MIC 1具有钟声提示开关，点击可发出钟声提醒。</w:t>
            </w:r>
          </w:p>
          <w:p w14:paraId="037036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▲5、话筒接口带+48V幻象电源带有独立幻象电源开关，为电容话筒提供电源。（投标需提供实物接口图片证明，并加盖厂商公章）</w:t>
            </w:r>
          </w:p>
          <w:p w14:paraId="76609D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6、话筒输入：5mV/600Ω 非平衡</w:t>
            </w:r>
          </w:p>
          <w:p w14:paraId="5DA49D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7、辅助输入：3500mV/10KΩ 非平衡</w:t>
            </w:r>
          </w:p>
          <w:p w14:paraId="292E55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8、紧急话筒输入：5mV-25mV/600Ω 非平衡</w:t>
            </w:r>
          </w:p>
          <w:p w14:paraId="7FDBFE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9、紧急线路输入：200mV-1000mV/10KΩ 非平衡</w:t>
            </w:r>
          </w:p>
          <w:p w14:paraId="6164BE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10、音频输出：10KΩ，0-6V非平衡</w:t>
            </w:r>
          </w:p>
          <w:p w14:paraId="7F2D97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11、输出静噪：≤3mV</w:t>
            </w:r>
          </w:p>
          <w:p w14:paraId="5BC22D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12、频率响应：20Hz-20KHz</w:t>
            </w:r>
          </w:p>
          <w:p w14:paraId="154E17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13、信噪比：MIC 输入：50dB AUX输入：80dB</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5C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B1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0982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C0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19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无线话筒</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A9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1、具有LED液晶屏显示RF/AF信号强度，自动选讯，可设定频道/频率，状态一目了然；</w:t>
            </w:r>
          </w:p>
          <w:p w14:paraId="082F76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2、具有频率自动选定功能，自动回避干扰；</w:t>
            </w:r>
          </w:p>
          <w:p w14:paraId="1179CF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3、灵敏度可调，接收距离从25米-60米之间可以分段设置；</w:t>
            </w:r>
          </w:p>
          <w:p w14:paraId="77BC7E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4、全新独特ID编码功能，对周围环境或≥10台叠机多套使用，具备优良的抗干扰能力</w:t>
            </w:r>
          </w:p>
          <w:p w14:paraId="5A76A2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5、支持自动搜索无干扰信道功能，PLL相位锁定频率合成振荡模式；</w:t>
            </w:r>
          </w:p>
          <w:p w14:paraId="61410B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6、U段无线话简是采用真分集设计，内置天线放大器，频率范围在UHF600~890MHz之间的一款远距离传输无线话筒。（要求提供第三方检验检测机构出具的此内容的检测报告（报告须有CNAS章）复印件，加盖生产企业公章）</w:t>
            </w:r>
          </w:p>
          <w:p w14:paraId="5DFA60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7、载波频率： UHF频段（640.125~690.000 MHz）；</w:t>
            </w:r>
          </w:p>
          <w:p w14:paraId="3FF129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8、灵敏度： 在偏移度等于40KHz,输入6dBμ V时，S/N&gt;80dB；</w:t>
            </w:r>
          </w:p>
          <w:p w14:paraId="25BAEB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9、最大偏移度： ±68KHz具有音量扩展 ；</w:t>
            </w:r>
          </w:p>
          <w:p w14:paraId="7A22CC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10、频带宽度： 50MHz，频率间隔：125KHz；</w:t>
            </w:r>
          </w:p>
          <w:p w14:paraId="2B7119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11、话筒输出功率： 30MW；</w:t>
            </w:r>
          </w:p>
          <w:p w14:paraId="745F48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12、综合S/N比： ±105dB(1KHz-A)</w:t>
            </w:r>
          </w:p>
          <w:p w14:paraId="269C6B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13、综合失真度： &lt;0.5% @ 1KHz</w:t>
            </w:r>
          </w:p>
          <w:p w14:paraId="3DBE3F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14、综合频率响应： 50Hz-18KHz±3dB具低频衰减滤频电路</w:t>
            </w:r>
          </w:p>
          <w:p w14:paraId="782B7D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15、最大输出电压： 平衡式MIC-LEVEL-0dBV/600Ω,非平衡式0dBV/600Ω</w:t>
            </w:r>
          </w:p>
          <w:p w14:paraId="3D2B26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16、音频输出：XLR平衡式插座独立输出及Φ6.3不平衡式插座混合输出 ；</w:t>
            </w:r>
          </w:p>
          <w:p w14:paraId="060125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17、音量输出调整： 输出电平可随意调整</w:t>
            </w:r>
          </w:p>
          <w:p w14:paraId="694C2E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18、静音控制模式： 独立“音码及杂讯锁定”双重静音控制</w:t>
            </w:r>
          </w:p>
          <w:p w14:paraId="38B545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19、麦克风使用易购的5号电池，续用时间达≥8小时</w:t>
            </w:r>
          </w:p>
          <w:p w14:paraId="363675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20、天线座带DC9V供电，可直接接放大天线使用；</w:t>
            </w:r>
          </w:p>
          <w:p w14:paraId="004F17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▲21、具备4档可调发射功率，可灵活适应各种场景使用。（要求提供第三方检验检测机构出具的此内容的检测报告（报告须有CNAS章）复印件，加盖生产企业公章）</w:t>
            </w:r>
          </w:p>
          <w:p w14:paraId="6DD80E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22、还原性好，天线分集，接收距离达≥160米远，适用于大型多功能厅，演出及一些高端会场</w:t>
            </w:r>
          </w:p>
          <w:p w14:paraId="63BA68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▲23、要求所投产品具有“无线电发射设备型号核准证”证书，提</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供证书复制件并加盖生产企业公章，证书编号网上可查询</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w:t>
            </w:r>
          </w:p>
          <w:p w14:paraId="2FE135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▲24、所投设备生产厂家的无线话筒必须拥有自主的知识产权，</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要求提供“无线话筒控制软件”的相关技术证明或自主产权证明文件（复印件并加盖生产厂商鲜章）</w:t>
            </w:r>
            <w:r>
              <w:rPr>
                <w:rFonts w:hint="eastAsia" w:ascii="宋体" w:hAnsi="宋体" w:eastAsia="宋体" w:cs="宋体"/>
                <w:i w:val="0"/>
                <w:iCs w:val="0"/>
                <w:color w:val="auto"/>
                <w:sz w:val="18"/>
                <w:szCs w:val="18"/>
                <w:u w:val="none"/>
                <w:lang w:eastAsia="zh-CN"/>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DD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D7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60FD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A9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5A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音视频管理终端</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86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1.多格式音频播放：支持MP3、WAV、FLAC等主流音频格式文件的播放，满足不同场景下音乐、语音素材的播放需求，确保音质清晰、稳定。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音频资源管理：提供可视化的音频文件管理界面，支持音频文件的上传、下载、删除、重命名、分类整理等操作，方便管理人员快速查找和调用所需音频素材。可根据不同年级、活动类型等维度建立音频资源库，提升资源管理效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播放列表定制：能够根据不同使用场景，如升旗仪式、运动会、校园文化活动等，创建多个个性化播放列表。用户可自由添加、删除音频文件，调整播放顺序，并保存列表以便重复使用，实现多样化的广播内容组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4.硬件兼容：兼容各类主流音频播放设备，如功放、音箱、调音台等，支持多种音频接口（3.5mm接口、RCA接口、数字音频接口等），可根据学校现有广播设备进行灵活配置和无缝对接。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5.软件兼容：支持Windows、Linux等主流操作系统，可与学校现有的校园管理系统、教学平台等进行数据对接和集成，实现信息共享和协同工作。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数据安全与权限管理：采用用户权限分级管理机制，设置管理员、操作员等不同角色，分配不同操作权限，确保只有授权人员才能对音频管理终端进行关键操作和音频资源修改。同时，定期对音频资源和系统数据进行备份，防止数据丢失，保障系统安全稳定运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7.主芯片：≥5.40GH2，≥14核，≥20线程；内存：≥16GB；存储容量：≥1TB；电池容量：≥64wh.</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30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41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021B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1A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7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音频线</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40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1.国标纯铜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2.参数要求：3.5耳机插头-双莲花插头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10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EB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7B34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BB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28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音频线</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66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1.国标纯铜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2.参数要求：莲花插头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A4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E4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1EB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56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2B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不锈钢机柜</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DF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304不锈钢，80*60*60CM,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91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03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2C4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C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F4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音柱立杆</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EE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立杆，含水泥基座。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31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8A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65B8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71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97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附材</w:t>
            </w:r>
          </w:p>
        </w:tc>
        <w:tc>
          <w:tcPr>
            <w:tcW w:w="5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52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RVVP室外广播线，规格2*2.5，长约800米；PVC20管，长约500米；扎带、胶布、螺丝、水晶头等五金配件，(投标人需根据项目现场勘察，评估项目附材配件/线材具体数量）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7D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DB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r>
    </w:tbl>
    <w:p w14:paraId="36A2994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lang w:val="en-US" w:eastAsia="zh-CN"/>
        </w:rPr>
        <w:t>注：</w:t>
      </w:r>
      <w:r>
        <w:rPr>
          <w:rFonts w:hint="eastAsia" w:cs="宋体" w:asciiTheme="minorEastAsia" w:hAnsiTheme="minorEastAsia" w:eastAsiaTheme="minorEastAsia"/>
          <w:bCs/>
          <w:color w:val="auto"/>
          <w:kern w:val="0"/>
          <w:sz w:val="28"/>
          <w:szCs w:val="28"/>
        </w:rPr>
        <w:t>打“▲”号条款为重要技术参数，若有部分“▲”条款未响应或不满足，将导致其响应性评审加重扣分，但不作为无效投标条款。</w:t>
      </w:r>
    </w:p>
    <w:p w14:paraId="30A7196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（二）采购项目商务要求</w:t>
      </w:r>
    </w:p>
    <w:p w14:paraId="0E5A3D3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1.本次采购产品为非进口产品（进口产品指通过中国海关报关验放进入中国境内且产自关境外的产品</w:t>
      </w:r>
      <w:r>
        <w:rPr>
          <w:rFonts w:cs="宋体" w:asciiTheme="minorEastAsia" w:hAnsiTheme="minorEastAsia" w:eastAsiaTheme="minorEastAsia"/>
          <w:bCs/>
          <w:color w:val="auto"/>
          <w:kern w:val="0"/>
          <w:sz w:val="28"/>
          <w:szCs w:val="28"/>
        </w:rPr>
        <w:t>)。</w:t>
      </w:r>
    </w:p>
    <w:p w14:paraId="6AB81DE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2.货物为原厂商(制造商)未启封全新包装，具出厂合格证，序列号、包装箱号与出厂批号一致，并可追索查阅。所有随设备的附件必须齐全。</w:t>
      </w:r>
      <w:r>
        <w:rPr>
          <w:rFonts w:hint="eastAsia" w:cs="宋体" w:asciiTheme="minorEastAsia" w:hAnsiTheme="minorEastAsia" w:eastAsiaTheme="minorEastAsia"/>
          <w:bCs/>
          <w:color w:val="auto"/>
          <w:kern w:val="0"/>
          <w:sz w:val="28"/>
          <w:szCs w:val="28"/>
          <w:lang w:val="en-US" w:eastAsia="zh-CN"/>
        </w:rPr>
        <w:t>项目建设完成后供应商</w:t>
      </w:r>
      <w:r>
        <w:rPr>
          <w:rFonts w:cs="宋体" w:asciiTheme="minorEastAsia" w:hAnsiTheme="minorEastAsia" w:eastAsiaTheme="minorEastAsia"/>
          <w:bCs/>
          <w:color w:val="auto"/>
          <w:kern w:val="0"/>
          <w:sz w:val="28"/>
          <w:szCs w:val="28"/>
        </w:rPr>
        <w:t>应将关键主机设备的用户手册、保修手册、有关单证资料及配备件、随机工具等交付给甲方，使用操作及安全须知等重要资料应附有中文说明。</w:t>
      </w:r>
    </w:p>
    <w:p w14:paraId="1731667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s="宋体" w:asciiTheme="minorEastAsia" w:hAnsiTheme="minorEastAsia" w:eastAsiaTheme="minorEastAsia"/>
          <w:bCs/>
          <w:color w:val="auto"/>
          <w:kern w:val="0"/>
          <w:sz w:val="28"/>
          <w:szCs w:val="28"/>
          <w:lang w:val="en-US" w:eastAsia="zh-CN"/>
        </w:rPr>
      </w:pPr>
      <w:r>
        <w:rPr>
          <w:rFonts w:cs="宋体" w:asciiTheme="minorEastAsia" w:hAnsiTheme="minorEastAsia" w:eastAsiaTheme="minorEastAsia"/>
          <w:bCs/>
          <w:color w:val="auto"/>
          <w:kern w:val="0"/>
          <w:sz w:val="28"/>
          <w:szCs w:val="28"/>
        </w:rPr>
        <w:t>3.</w:t>
      </w:r>
      <w:r>
        <w:rPr>
          <w:rFonts w:hint="eastAsia" w:cs="宋体" w:asciiTheme="minorEastAsia" w:hAnsiTheme="minorEastAsia" w:eastAsiaTheme="minorEastAsia"/>
          <w:bCs/>
          <w:color w:val="auto"/>
          <w:kern w:val="0"/>
          <w:sz w:val="28"/>
          <w:szCs w:val="28"/>
          <w:lang w:val="en-US" w:eastAsia="zh-CN"/>
        </w:rPr>
        <w:t>供应商根据</w:t>
      </w:r>
      <w:r>
        <w:rPr>
          <w:rFonts w:hint="eastAsia" w:cs="宋体" w:asciiTheme="minorEastAsia" w:hAnsiTheme="minorEastAsia" w:eastAsiaTheme="minorEastAsia"/>
          <w:bCs/>
          <w:color w:val="auto"/>
          <w:kern w:val="0"/>
          <w:sz w:val="28"/>
          <w:szCs w:val="28"/>
        </w:rPr>
        <w:t>“货物详细设备要求及技术参数”标注</w:t>
      </w:r>
      <w:r>
        <w:rPr>
          <w:rFonts w:hint="eastAsia" w:cs="宋体" w:asciiTheme="minorEastAsia" w:hAnsiTheme="minorEastAsia" w:eastAsiaTheme="minorEastAsia"/>
          <w:color w:val="auto"/>
          <w:kern w:val="0"/>
          <w:sz w:val="20"/>
        </w:rPr>
        <w:t>▲</w:t>
      </w:r>
      <w:r>
        <w:rPr>
          <w:rFonts w:hint="eastAsia" w:cs="宋体" w:asciiTheme="minorEastAsia" w:hAnsiTheme="minorEastAsia" w:eastAsiaTheme="minorEastAsia"/>
          <w:bCs/>
          <w:color w:val="auto"/>
          <w:kern w:val="0"/>
          <w:sz w:val="28"/>
          <w:szCs w:val="28"/>
        </w:rPr>
        <w:t>的技术指标，需提供</w:t>
      </w:r>
      <w:r>
        <w:rPr>
          <w:rFonts w:hint="eastAsia" w:cs="宋体" w:asciiTheme="minorEastAsia" w:hAnsiTheme="minorEastAsia" w:eastAsiaTheme="minorEastAsia"/>
          <w:bCs/>
          <w:color w:val="auto"/>
          <w:kern w:val="0"/>
          <w:sz w:val="28"/>
          <w:szCs w:val="28"/>
          <w:lang w:val="en-US" w:eastAsia="zh-CN"/>
        </w:rPr>
        <w:t>相关材料证明及由</w:t>
      </w:r>
      <w:r>
        <w:rPr>
          <w:rFonts w:hint="eastAsia" w:cs="宋体" w:asciiTheme="minorEastAsia" w:hAnsiTheme="minorEastAsia" w:eastAsiaTheme="minorEastAsia"/>
          <w:bCs/>
          <w:color w:val="auto"/>
          <w:kern w:val="0"/>
          <w:sz w:val="28"/>
          <w:szCs w:val="28"/>
        </w:rPr>
        <w:t>CMA或CNAS认证的第三方专业机构出具的检测报告复印件，并加盖制造厂商公章</w:t>
      </w:r>
      <w:r>
        <w:rPr>
          <w:rFonts w:hint="eastAsia" w:cs="宋体" w:asciiTheme="minorEastAsia" w:hAnsiTheme="minorEastAsia" w:eastAsiaTheme="minorEastAsia"/>
          <w:bCs/>
          <w:color w:val="auto"/>
          <w:kern w:val="0"/>
          <w:sz w:val="28"/>
          <w:szCs w:val="28"/>
          <w:lang w:val="en-US" w:eastAsia="zh-CN"/>
        </w:rPr>
        <w:t>。</w:t>
      </w:r>
    </w:p>
    <w:p w14:paraId="1FF1317D">
      <w:pPr>
        <w:ind w:firstLine="480"/>
        <w:rPr>
          <w:rFonts w:hint="eastAsia" w:cs="宋体" w:asciiTheme="minorEastAsia" w:hAnsiTheme="minorEastAsia" w:eastAsiaTheme="minorEastAsia"/>
          <w:b w:val="0"/>
          <w:bCs/>
          <w:color w:val="auto"/>
          <w:kern w:val="0"/>
          <w:sz w:val="28"/>
          <w:szCs w:val="28"/>
          <w:lang w:val="en-US" w:eastAsia="zh-CN" w:bidi="ar-SA"/>
        </w:rPr>
      </w:pPr>
      <w:r>
        <w:rPr>
          <w:rFonts w:hint="eastAsia" w:cs="宋体" w:asciiTheme="minorEastAsia" w:hAnsiTheme="minorEastAsia" w:eastAsiaTheme="minorEastAsia"/>
          <w:b w:val="0"/>
          <w:bCs/>
          <w:color w:val="auto"/>
          <w:kern w:val="0"/>
          <w:sz w:val="28"/>
          <w:szCs w:val="28"/>
          <w:lang w:val="en-US" w:eastAsia="zh-CN" w:bidi="ar-SA"/>
        </w:rPr>
        <w:t>供应商对采购人技术标准与要求的响应情况。对应需求书中</w:t>
      </w:r>
      <w:r>
        <w:rPr>
          <w:rFonts w:hint="eastAsia" w:cs="宋体" w:asciiTheme="minorEastAsia" w:hAnsiTheme="minorEastAsia" w:eastAsiaTheme="minorEastAsia"/>
          <w:bCs/>
          <w:color w:val="auto"/>
          <w:kern w:val="0"/>
          <w:sz w:val="28"/>
          <w:szCs w:val="28"/>
        </w:rPr>
        <w:t>“货物详细设备要求及技术参数”</w:t>
      </w:r>
      <w:r>
        <w:rPr>
          <w:rFonts w:hint="eastAsia" w:cs="宋体" w:asciiTheme="minorEastAsia" w:hAnsiTheme="minorEastAsia" w:eastAsiaTheme="minorEastAsia"/>
          <w:b w:val="0"/>
          <w:bCs/>
          <w:color w:val="auto"/>
          <w:kern w:val="0"/>
          <w:sz w:val="28"/>
          <w:szCs w:val="28"/>
          <w:lang w:val="en-US" w:eastAsia="zh-CN" w:bidi="ar-SA"/>
        </w:rPr>
        <w:t>中的“参数要求”提供偏离情况说明。打“▲”号条款为重要技术参数（如有），若有部分“▲”条款未响应或不满足，将根据评审要求影响其得分，但不作为无效投标条款。</w:t>
      </w:r>
    </w:p>
    <w:p w14:paraId="71F77F2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4.投标人所提供的品牌产品必须是具有生产许可证和产品合格证的产品。</w:t>
      </w:r>
    </w:p>
    <w:p w14:paraId="648177F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5.</w:t>
      </w:r>
      <w:r>
        <w:rPr>
          <w:rFonts w:hint="eastAsia" w:cs="宋体" w:asciiTheme="minorEastAsia" w:hAnsiTheme="minorEastAsia" w:eastAsiaTheme="minorEastAsia"/>
          <w:bCs/>
          <w:color w:val="auto"/>
          <w:kern w:val="0"/>
          <w:sz w:val="28"/>
          <w:szCs w:val="28"/>
        </w:rPr>
        <w:t>对于影响货物正常工作的必要组成部分，无论在技术规范中指出与否，投标人都应提供并在投标文件中明确列出。</w:t>
      </w:r>
    </w:p>
    <w:p w14:paraId="516705E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6.</w:t>
      </w:r>
      <w:r>
        <w:rPr>
          <w:rFonts w:hint="eastAsia" w:cs="宋体" w:asciiTheme="minorEastAsia" w:hAnsiTheme="minorEastAsia" w:eastAsiaTheme="minorEastAsia"/>
          <w:bCs/>
          <w:color w:val="auto"/>
          <w:kern w:val="0"/>
          <w:sz w:val="28"/>
          <w:szCs w:val="28"/>
        </w:rPr>
        <w:t>投标人所提供的货物及辅助装置的使用指示、铭牌、警告指示应以中文或英文及易懂的通用符号来表示，能够准确无误地表示设备的型号、规格和制造商。</w:t>
      </w:r>
    </w:p>
    <w:p w14:paraId="519D471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7.</w:t>
      </w:r>
      <w:r>
        <w:rPr>
          <w:rFonts w:hint="eastAsia" w:cs="宋体" w:asciiTheme="minorEastAsia" w:hAnsiTheme="minorEastAsia" w:eastAsiaTheme="minorEastAsia"/>
          <w:bCs/>
          <w:color w:val="auto"/>
          <w:kern w:val="0"/>
          <w:sz w:val="28"/>
          <w:szCs w:val="28"/>
        </w:rPr>
        <w:t>中标供应商在实际供货时，若被发现提供的货物未能达到投标文件中的有关要求，将视为中标供应商违约，并依法解除合同，并追究中标供应商的责任。</w:t>
      </w:r>
    </w:p>
    <w:p w14:paraId="207AE72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8.</w:t>
      </w:r>
      <w:r>
        <w:rPr>
          <w:rFonts w:hint="eastAsia" w:cs="宋体" w:asciiTheme="minorEastAsia" w:hAnsiTheme="minorEastAsia" w:eastAsiaTheme="minorEastAsia"/>
          <w:bCs/>
          <w:color w:val="auto"/>
          <w:kern w:val="0"/>
          <w:sz w:val="28"/>
          <w:szCs w:val="28"/>
        </w:rPr>
        <w:t>由中标供应商负责按国家相关标准进行货物包装，货物的包装均应有良好的防湿、防锈、防潮、防雨、防腐及防碰撞的措施，并适宜本地区的气候条件。凡由于包装不良造成的损失和由此产生的费用均由中标供应商承担。</w:t>
      </w:r>
    </w:p>
    <w:p w14:paraId="2CC4AC1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9.</w:t>
      </w:r>
      <w:r>
        <w:rPr>
          <w:rFonts w:hint="eastAsia" w:cs="宋体" w:asciiTheme="minorEastAsia" w:hAnsiTheme="minorEastAsia" w:eastAsiaTheme="minorEastAsia"/>
          <w:bCs/>
          <w:color w:val="auto"/>
          <w:kern w:val="0"/>
          <w:sz w:val="28"/>
          <w:szCs w:val="28"/>
        </w:rPr>
        <w:t>投标人所投报的设备（或产品）和服务必须成套和完整，在技术要求中未列明但属于产品运行（或使用）的所需附件必须一并投报。如果在安装和运行（或使用）过程中发现有缺项漏项，且又是正常运行（或使用）所必要的，投标人应当主动提供（该价格包含在投标报价中）。</w:t>
      </w:r>
    </w:p>
    <w:p w14:paraId="361FC5E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10.</w:t>
      </w:r>
      <w:r>
        <w:rPr>
          <w:rFonts w:hint="eastAsia" w:cs="宋体" w:asciiTheme="minorEastAsia" w:hAnsiTheme="minorEastAsia" w:eastAsiaTheme="minorEastAsia"/>
          <w:bCs/>
          <w:color w:val="auto"/>
          <w:kern w:val="0"/>
          <w:sz w:val="28"/>
          <w:szCs w:val="28"/>
        </w:rPr>
        <w:t>本采购项目投标人必须对项目内所有内容进行投标，不允许对包组内部分内容选择性投标，报价方式为总价包干形式，最终只选取一家中标供应商。</w:t>
      </w:r>
    </w:p>
    <w:p w14:paraId="018F08C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11.</w:t>
      </w:r>
      <w:r>
        <w:rPr>
          <w:rFonts w:hint="eastAsia" w:cs="宋体" w:asciiTheme="minorEastAsia" w:hAnsiTheme="minorEastAsia" w:eastAsiaTheme="minorEastAsia"/>
          <w:bCs/>
          <w:color w:val="auto"/>
          <w:kern w:val="0"/>
          <w:sz w:val="28"/>
          <w:szCs w:val="28"/>
        </w:rPr>
        <w:t>本项目货物款式、颜色、尺寸仅供参考，投标人要到采购人现场重新进行精准测量，在得到采购人对款式、颜色、尺寸及数量予以确认后，方可生产。</w:t>
      </w:r>
    </w:p>
    <w:p w14:paraId="5218A8B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12.</w:t>
      </w:r>
      <w:r>
        <w:rPr>
          <w:rFonts w:hint="eastAsia" w:cs="宋体" w:asciiTheme="minorEastAsia" w:hAnsiTheme="minorEastAsia" w:eastAsiaTheme="minorEastAsia"/>
          <w:bCs/>
          <w:color w:val="auto"/>
          <w:kern w:val="0"/>
          <w:sz w:val="28"/>
          <w:szCs w:val="28"/>
        </w:rPr>
        <w:t>投标人近年来具有同类项目成功案例经验的，应在投标文件中提供证明材料</w:t>
      </w:r>
      <w:r>
        <w:rPr>
          <w:rFonts w:cs="宋体" w:asciiTheme="minorEastAsia" w:hAnsiTheme="minorEastAsia" w:eastAsiaTheme="minorEastAsia"/>
          <w:bCs/>
          <w:color w:val="auto"/>
          <w:kern w:val="0"/>
          <w:sz w:val="28"/>
          <w:szCs w:val="28"/>
        </w:rPr>
        <w:t>(提供加盖单位公章的中标/成交通知书或合同的复印件)。</w:t>
      </w:r>
    </w:p>
    <w:p w14:paraId="6CAF734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13.</w:t>
      </w:r>
      <w:r>
        <w:rPr>
          <w:rFonts w:hint="eastAsia" w:cs="宋体" w:asciiTheme="minorEastAsia" w:hAnsiTheme="minorEastAsia" w:eastAsiaTheme="minorEastAsia"/>
          <w:bCs/>
          <w:color w:val="auto"/>
          <w:kern w:val="0"/>
          <w:sz w:val="28"/>
          <w:szCs w:val="28"/>
        </w:rPr>
        <w:t>安全责任：本项目安全措施由中标供应商制定方案及组织实施，并承担全部安全责任，采购人不负责任何伤亡、劳保福利以及施工中材料被盗等责任。</w:t>
      </w:r>
    </w:p>
    <w:p w14:paraId="6C5018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14.</w:t>
      </w:r>
      <w:r>
        <w:rPr>
          <w:rFonts w:hint="eastAsia" w:cs="宋体" w:asciiTheme="minorEastAsia" w:hAnsiTheme="minorEastAsia" w:eastAsiaTheme="minorEastAsia"/>
          <w:bCs/>
          <w:color w:val="auto"/>
          <w:kern w:val="0"/>
          <w:sz w:val="28"/>
          <w:szCs w:val="28"/>
        </w:rPr>
        <w:t>消防责任：本项目消防措施由中标供应商制定方案及组织实施，严格按照消防法的规定进行操作，需用的水电由采购人协助提供，需用电源必须由采购人派有资质的电工按规范拉接，不允许中标供应商的施工人员乱拉乱接。凡在施工期间出现的火灾事故应由中标供应商负责，所造成的经济损失由中标供应商负责所有赔偿。</w:t>
      </w:r>
    </w:p>
    <w:p w14:paraId="318806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15.</w:t>
      </w:r>
      <w:r>
        <w:rPr>
          <w:rFonts w:hint="eastAsia" w:cs="宋体" w:asciiTheme="minorEastAsia" w:hAnsiTheme="minorEastAsia" w:eastAsiaTheme="minorEastAsia"/>
          <w:bCs/>
          <w:color w:val="auto"/>
          <w:kern w:val="0"/>
          <w:sz w:val="28"/>
          <w:szCs w:val="28"/>
        </w:rPr>
        <w:t>为保障维修整改项目的维修整改质量，本项目应由中标供应商自行实施。</w:t>
      </w:r>
    </w:p>
    <w:p w14:paraId="6138353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16.</w:t>
      </w:r>
      <w:r>
        <w:rPr>
          <w:rFonts w:hint="eastAsia" w:cs="宋体" w:asciiTheme="minorEastAsia" w:hAnsiTheme="minorEastAsia" w:eastAsiaTheme="minorEastAsia"/>
          <w:bCs/>
          <w:color w:val="auto"/>
          <w:kern w:val="0"/>
          <w:sz w:val="28"/>
          <w:szCs w:val="28"/>
        </w:rPr>
        <w:t>在货物运输、安装、验收过程的如果发生安全事故的，安全责任全部由投标人负责，采购人不承担任何责任。</w:t>
      </w:r>
    </w:p>
    <w:p w14:paraId="492A843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1</w:t>
      </w:r>
      <w:r>
        <w:rPr>
          <w:rFonts w:hint="eastAsia" w:cs="宋体" w:asciiTheme="minorEastAsia" w:hAnsiTheme="minorEastAsia" w:eastAsiaTheme="minorEastAsia"/>
          <w:bCs/>
          <w:color w:val="auto"/>
          <w:kern w:val="0"/>
          <w:sz w:val="28"/>
          <w:szCs w:val="28"/>
          <w:lang w:val="en-US" w:eastAsia="zh-CN"/>
        </w:rPr>
        <w:t>7</w:t>
      </w:r>
      <w:r>
        <w:rPr>
          <w:rFonts w:cs="宋体" w:asciiTheme="minorEastAsia" w:hAnsiTheme="minorEastAsia" w:eastAsiaTheme="minorEastAsia"/>
          <w:bCs/>
          <w:color w:val="auto"/>
          <w:kern w:val="0"/>
          <w:sz w:val="28"/>
          <w:szCs w:val="28"/>
        </w:rPr>
        <w:t>.</w:t>
      </w:r>
      <w:r>
        <w:rPr>
          <w:rFonts w:hint="eastAsia" w:cs="宋体" w:asciiTheme="minorEastAsia" w:hAnsiTheme="minorEastAsia" w:eastAsiaTheme="minorEastAsia"/>
          <w:bCs/>
          <w:color w:val="auto"/>
          <w:kern w:val="0"/>
          <w:sz w:val="28"/>
          <w:szCs w:val="28"/>
        </w:rPr>
        <w:t>货物必须承诺提供至少</w:t>
      </w:r>
      <w:r>
        <w:rPr>
          <w:rFonts w:hint="eastAsia" w:cs="宋体" w:asciiTheme="minorEastAsia" w:hAnsiTheme="minorEastAsia" w:eastAsiaTheme="minorEastAsia"/>
          <w:bCs/>
          <w:color w:val="auto"/>
          <w:kern w:val="0"/>
          <w:sz w:val="28"/>
          <w:szCs w:val="28"/>
          <w:lang w:val="en-US" w:eastAsia="zh-CN"/>
        </w:rPr>
        <w:t>1</w:t>
      </w:r>
      <w:r>
        <w:rPr>
          <w:rFonts w:cs="宋体" w:asciiTheme="minorEastAsia" w:hAnsiTheme="minorEastAsia" w:eastAsiaTheme="minorEastAsia"/>
          <w:bCs/>
          <w:color w:val="auto"/>
          <w:kern w:val="0"/>
          <w:sz w:val="28"/>
          <w:szCs w:val="28"/>
        </w:rPr>
        <w:t>年以上的保修期，在保修期内非人为损坏而更换零部件产生的费用包含在投标报价中。投标人应在投标文件中提供《承诺函》，承诺函格式自拟。</w:t>
      </w:r>
    </w:p>
    <w:p w14:paraId="2B0C56B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1</w:t>
      </w:r>
      <w:r>
        <w:rPr>
          <w:rFonts w:hint="eastAsia" w:cs="宋体" w:asciiTheme="minorEastAsia" w:hAnsiTheme="minorEastAsia" w:eastAsiaTheme="minorEastAsia"/>
          <w:bCs/>
          <w:color w:val="auto"/>
          <w:kern w:val="0"/>
          <w:sz w:val="28"/>
          <w:szCs w:val="28"/>
          <w:lang w:val="en-US" w:eastAsia="zh-CN"/>
        </w:rPr>
        <w:t>8</w:t>
      </w:r>
      <w:r>
        <w:rPr>
          <w:rFonts w:cs="宋体" w:asciiTheme="minorEastAsia" w:hAnsiTheme="minorEastAsia" w:eastAsiaTheme="minorEastAsia"/>
          <w:bCs/>
          <w:color w:val="auto"/>
          <w:kern w:val="0"/>
          <w:sz w:val="28"/>
          <w:szCs w:val="28"/>
        </w:rPr>
        <w:t>.</w:t>
      </w:r>
      <w:r>
        <w:rPr>
          <w:rFonts w:hint="eastAsia" w:cs="宋体" w:asciiTheme="minorEastAsia" w:hAnsiTheme="minorEastAsia" w:eastAsiaTheme="minorEastAsia"/>
          <w:bCs/>
          <w:color w:val="auto"/>
          <w:kern w:val="0"/>
          <w:sz w:val="28"/>
          <w:szCs w:val="28"/>
        </w:rPr>
        <w:t>交货地点：江门市技师学院潮连校区（江门市潮连环岛西路22号</w:t>
      </w:r>
      <w:r>
        <w:rPr>
          <w:rFonts w:cs="宋体" w:asciiTheme="minorEastAsia" w:hAnsiTheme="minorEastAsia" w:eastAsiaTheme="minorEastAsia"/>
          <w:bCs/>
          <w:color w:val="auto"/>
          <w:kern w:val="0"/>
          <w:sz w:val="28"/>
          <w:szCs w:val="28"/>
        </w:rPr>
        <w:t>）</w:t>
      </w:r>
      <w:r>
        <w:rPr>
          <w:rFonts w:hint="eastAsia" w:cs="宋体" w:asciiTheme="minorEastAsia" w:hAnsiTheme="minorEastAsia" w:eastAsiaTheme="minorEastAsia"/>
          <w:bCs/>
          <w:color w:val="auto"/>
          <w:kern w:val="0"/>
          <w:sz w:val="28"/>
          <w:szCs w:val="28"/>
        </w:rPr>
        <w:t>，</w:t>
      </w:r>
      <w:r>
        <w:rPr>
          <w:rFonts w:hint="eastAsia" w:cs="宋体" w:asciiTheme="minorEastAsia" w:hAnsiTheme="minorEastAsia" w:eastAsiaTheme="minorEastAsia"/>
          <w:bCs/>
          <w:color w:val="auto"/>
          <w:kern w:val="0"/>
          <w:sz w:val="28"/>
          <w:szCs w:val="28"/>
          <w:lang w:val="en-US" w:eastAsia="zh-CN"/>
        </w:rPr>
        <w:t>运动场</w:t>
      </w:r>
      <w:r>
        <w:rPr>
          <w:rFonts w:hint="eastAsia" w:cs="宋体" w:asciiTheme="minorEastAsia" w:hAnsiTheme="minorEastAsia" w:eastAsiaTheme="minorEastAsia"/>
          <w:bCs/>
          <w:color w:val="auto"/>
          <w:kern w:val="0"/>
          <w:sz w:val="28"/>
          <w:szCs w:val="28"/>
        </w:rPr>
        <w:t>。</w:t>
      </w:r>
    </w:p>
    <w:p w14:paraId="2EC649D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cs="宋体" w:asciiTheme="minorEastAsia" w:hAnsiTheme="minorEastAsia" w:eastAsiaTheme="minorEastAsia"/>
          <w:bCs/>
          <w:color w:val="auto"/>
          <w:kern w:val="0"/>
          <w:sz w:val="28"/>
          <w:szCs w:val="28"/>
          <w:lang w:val="en-US" w:eastAsia="zh-CN"/>
        </w:rPr>
      </w:pPr>
      <w:r>
        <w:rPr>
          <w:rFonts w:hint="eastAsia" w:cs="宋体" w:asciiTheme="minorEastAsia" w:hAnsiTheme="minorEastAsia" w:eastAsiaTheme="minorEastAsia"/>
          <w:bCs/>
          <w:color w:val="auto"/>
          <w:kern w:val="0"/>
          <w:sz w:val="28"/>
          <w:szCs w:val="28"/>
          <w:lang w:val="en-US" w:eastAsia="zh-CN"/>
        </w:rPr>
        <w:t>19.培训：在中标供应商成功完成项目建设任务之后，需组织对采购人的相关业务人员进行详细的培训工作。培训过程应当涵盖项目建设的所有关键方面，确保业务人员能够充分理解和掌握项目的操作流程、技术细节以及维护要求。培训内容应包括但不限于系统的使用方法、故障排除技巧以及日常维护知识。</w:t>
      </w:r>
    </w:p>
    <w:p w14:paraId="16AF083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2</w:t>
      </w:r>
      <w:r>
        <w:rPr>
          <w:rFonts w:hint="eastAsia" w:cs="宋体" w:asciiTheme="minorEastAsia" w:hAnsiTheme="minorEastAsia" w:eastAsiaTheme="minorEastAsia"/>
          <w:bCs/>
          <w:color w:val="auto"/>
          <w:kern w:val="0"/>
          <w:sz w:val="28"/>
          <w:szCs w:val="28"/>
          <w:lang w:val="en-US" w:eastAsia="zh-CN"/>
        </w:rPr>
        <w:t>0</w:t>
      </w:r>
      <w:r>
        <w:rPr>
          <w:rFonts w:cs="宋体" w:asciiTheme="minorEastAsia" w:hAnsiTheme="minorEastAsia" w:eastAsiaTheme="minorEastAsia"/>
          <w:bCs/>
          <w:color w:val="auto"/>
          <w:kern w:val="0"/>
          <w:sz w:val="28"/>
          <w:szCs w:val="28"/>
        </w:rPr>
        <w:t>.</w:t>
      </w:r>
      <w:r>
        <w:rPr>
          <w:rFonts w:hint="eastAsia" w:cs="宋体" w:asciiTheme="minorEastAsia" w:hAnsiTheme="minorEastAsia" w:eastAsiaTheme="minorEastAsia"/>
          <w:bCs/>
          <w:color w:val="auto"/>
          <w:kern w:val="0"/>
          <w:sz w:val="28"/>
          <w:szCs w:val="28"/>
        </w:rPr>
        <w:t>验收要求：</w:t>
      </w:r>
      <w:r>
        <w:rPr>
          <w:rFonts w:cs="宋体" w:asciiTheme="minorEastAsia" w:hAnsiTheme="minorEastAsia" w:eastAsiaTheme="minorEastAsia"/>
          <w:bCs/>
          <w:color w:val="auto"/>
          <w:kern w:val="0"/>
          <w:sz w:val="28"/>
          <w:szCs w:val="28"/>
        </w:rPr>
        <w:t xml:space="preserve"> </w:t>
      </w:r>
    </w:p>
    <w:p w14:paraId="3AEBF05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①符合国家有关法律法规相关规定和标准；</w:t>
      </w:r>
    </w:p>
    <w:p w14:paraId="614F42D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②符合招标文件要求和投标文件条款；</w:t>
      </w:r>
    </w:p>
    <w:p w14:paraId="47D0CED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③单证齐全，有产品合格证、发票和其它应具有的单证；</w:t>
      </w:r>
    </w:p>
    <w:p w14:paraId="3304CF5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④交货时系统需安装调试后，经测试合格由中标供应商和采购人共同验收。</w:t>
      </w:r>
    </w:p>
    <w:p w14:paraId="794E005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cs="宋体" w:asciiTheme="minorEastAsia" w:hAnsiTheme="minorEastAsia" w:eastAsiaTheme="minorEastAsia"/>
          <w:bCs/>
          <w:color w:val="auto"/>
          <w:kern w:val="0"/>
          <w:sz w:val="28"/>
          <w:szCs w:val="28"/>
        </w:rPr>
        <w:t>2</w:t>
      </w:r>
      <w:r>
        <w:rPr>
          <w:rFonts w:hint="eastAsia" w:cs="宋体" w:asciiTheme="minorEastAsia" w:hAnsiTheme="minorEastAsia" w:eastAsiaTheme="minorEastAsia"/>
          <w:bCs/>
          <w:color w:val="auto"/>
          <w:kern w:val="0"/>
          <w:sz w:val="28"/>
          <w:szCs w:val="28"/>
          <w:lang w:val="en-US" w:eastAsia="zh-CN"/>
        </w:rPr>
        <w:t>1</w:t>
      </w:r>
      <w:r>
        <w:rPr>
          <w:rFonts w:cs="宋体" w:asciiTheme="minorEastAsia" w:hAnsiTheme="minorEastAsia" w:eastAsiaTheme="minorEastAsia"/>
          <w:bCs/>
          <w:color w:val="auto"/>
          <w:kern w:val="0"/>
          <w:sz w:val="28"/>
          <w:szCs w:val="28"/>
        </w:rPr>
        <w:t>.</w:t>
      </w:r>
      <w:r>
        <w:rPr>
          <w:rFonts w:hint="eastAsia" w:cs="宋体" w:asciiTheme="minorEastAsia" w:hAnsiTheme="minorEastAsia" w:eastAsiaTheme="minorEastAsia"/>
          <w:bCs/>
          <w:color w:val="auto"/>
          <w:kern w:val="0"/>
          <w:sz w:val="28"/>
          <w:szCs w:val="28"/>
        </w:rPr>
        <w:t>售后服务要求</w:t>
      </w:r>
    </w:p>
    <w:p w14:paraId="0E87E46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①投标人保证在周一至周</w:t>
      </w:r>
      <w:r>
        <w:rPr>
          <w:rFonts w:hint="eastAsia" w:cs="宋体" w:asciiTheme="minorEastAsia" w:hAnsiTheme="minorEastAsia" w:eastAsiaTheme="minorEastAsia"/>
          <w:bCs/>
          <w:color w:val="auto"/>
          <w:kern w:val="0"/>
          <w:sz w:val="28"/>
          <w:szCs w:val="28"/>
          <w:lang w:val="en-US" w:eastAsia="zh-CN"/>
        </w:rPr>
        <w:t>五</w:t>
      </w:r>
      <w:r>
        <w:rPr>
          <w:rFonts w:hint="eastAsia" w:cs="宋体" w:asciiTheme="minorEastAsia" w:hAnsiTheme="minorEastAsia" w:eastAsiaTheme="minorEastAsia"/>
          <w:bCs/>
          <w:color w:val="auto"/>
          <w:kern w:val="0"/>
          <w:sz w:val="28"/>
          <w:szCs w:val="28"/>
        </w:rPr>
        <w:t>每天</w:t>
      </w:r>
      <w:r>
        <w:rPr>
          <w:rFonts w:cs="宋体" w:asciiTheme="minorEastAsia" w:hAnsiTheme="minorEastAsia" w:eastAsiaTheme="minorEastAsia"/>
          <w:bCs/>
          <w:color w:val="auto"/>
          <w:kern w:val="0"/>
          <w:sz w:val="28"/>
          <w:szCs w:val="28"/>
        </w:rPr>
        <w:t>8:30-17:30时内，投标人提供的货物出现需要维护或维修时，能够按照下列时间完成相应售后服务：30分钟内响应，2小时内派提供售后服务的工作人员到达现场，到场后2小时内完成维护或维修。</w:t>
      </w:r>
    </w:p>
    <w:p w14:paraId="07A907D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②维修时间超过</w:t>
      </w:r>
      <w:r>
        <w:rPr>
          <w:rFonts w:cs="宋体" w:asciiTheme="minorEastAsia" w:hAnsiTheme="minorEastAsia" w:eastAsiaTheme="minorEastAsia"/>
          <w:bCs/>
          <w:color w:val="auto"/>
          <w:kern w:val="0"/>
          <w:sz w:val="28"/>
          <w:szCs w:val="28"/>
        </w:rPr>
        <w:t>8小时的，投标人应提供同等或更优型号的、全新的备用产品以保证采购人正常使用。</w:t>
      </w:r>
    </w:p>
    <w:p w14:paraId="3FBAD8D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③投标人所投报的货物必须提供至少</w:t>
      </w:r>
      <w:r>
        <w:rPr>
          <w:rFonts w:hint="eastAsia" w:cs="宋体" w:asciiTheme="minorEastAsia" w:hAnsiTheme="minorEastAsia" w:eastAsiaTheme="minorEastAsia"/>
          <w:bCs/>
          <w:color w:val="auto"/>
          <w:kern w:val="0"/>
          <w:sz w:val="28"/>
          <w:szCs w:val="28"/>
          <w:lang w:val="en-US" w:eastAsia="zh-CN"/>
        </w:rPr>
        <w:t>1</w:t>
      </w:r>
      <w:r>
        <w:rPr>
          <w:rFonts w:cs="宋体" w:asciiTheme="minorEastAsia" w:hAnsiTheme="minorEastAsia" w:eastAsiaTheme="minorEastAsia"/>
          <w:bCs/>
          <w:color w:val="auto"/>
          <w:kern w:val="0"/>
          <w:sz w:val="28"/>
          <w:szCs w:val="28"/>
        </w:rPr>
        <w:t>年以上的保修期，</w:t>
      </w:r>
      <w:r>
        <w:rPr>
          <w:rFonts w:hint="eastAsia" w:cs="宋体" w:asciiTheme="minorEastAsia" w:hAnsiTheme="minorEastAsia" w:eastAsiaTheme="minorEastAsia"/>
          <w:bCs/>
          <w:color w:val="auto"/>
          <w:kern w:val="0"/>
          <w:sz w:val="28"/>
          <w:szCs w:val="28"/>
        </w:rPr>
        <w:t>在保修期内非人为损坏而更换零部件</w:t>
      </w:r>
      <w:r>
        <w:rPr>
          <w:rFonts w:hint="eastAsia" w:cs="宋体" w:asciiTheme="minorEastAsia" w:hAnsiTheme="minorEastAsia" w:eastAsiaTheme="minorEastAsia"/>
          <w:bCs/>
          <w:color w:val="auto"/>
          <w:kern w:val="0"/>
          <w:sz w:val="28"/>
          <w:szCs w:val="28"/>
          <w:lang w:eastAsia="zh-CN"/>
        </w:rPr>
        <w:t>、</w:t>
      </w:r>
      <w:r>
        <w:rPr>
          <w:rFonts w:hint="eastAsia" w:cs="宋体" w:asciiTheme="minorEastAsia" w:hAnsiTheme="minorEastAsia" w:eastAsiaTheme="minorEastAsia"/>
          <w:bCs/>
          <w:color w:val="auto"/>
          <w:kern w:val="0"/>
          <w:sz w:val="28"/>
          <w:szCs w:val="28"/>
          <w:lang w:val="en-US" w:eastAsia="zh-CN"/>
        </w:rPr>
        <w:t>或系统软件升级等所需</w:t>
      </w:r>
      <w:r>
        <w:rPr>
          <w:rFonts w:hint="eastAsia" w:cs="宋体" w:asciiTheme="minorEastAsia" w:hAnsiTheme="minorEastAsia" w:eastAsiaTheme="minorEastAsia"/>
          <w:bCs/>
          <w:color w:val="auto"/>
          <w:kern w:val="0"/>
          <w:sz w:val="28"/>
          <w:szCs w:val="28"/>
        </w:rPr>
        <w:t>的费用包含在投标报价中。</w:t>
      </w:r>
    </w:p>
    <w:p w14:paraId="1C4D012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w:t>
      </w:r>
      <w:r>
        <w:rPr>
          <w:rFonts w:hint="eastAsia" w:cs="宋体" w:asciiTheme="minorEastAsia" w:hAnsiTheme="minorEastAsia" w:eastAsiaTheme="minorEastAsia"/>
          <w:bCs/>
          <w:color w:val="auto"/>
          <w:kern w:val="0"/>
          <w:sz w:val="28"/>
          <w:szCs w:val="28"/>
          <w:lang w:val="en-US" w:eastAsia="zh-CN"/>
        </w:rPr>
        <w:t>2</w:t>
      </w:r>
      <w:r>
        <w:rPr>
          <w:rFonts w:hint="eastAsia" w:cs="宋体" w:asciiTheme="minorEastAsia" w:hAnsiTheme="minorEastAsia" w:eastAsiaTheme="minorEastAsia"/>
          <w:bCs/>
          <w:color w:val="auto"/>
          <w:kern w:val="0"/>
          <w:sz w:val="28"/>
          <w:szCs w:val="28"/>
        </w:rPr>
        <w:t>.中标供应商应负责安装完毕后清理现场。</w:t>
      </w:r>
    </w:p>
    <w:p w14:paraId="1528E70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w:t>
      </w:r>
      <w:r>
        <w:rPr>
          <w:rFonts w:hint="eastAsia" w:cs="宋体" w:asciiTheme="minorEastAsia" w:hAnsiTheme="minorEastAsia" w:eastAsiaTheme="minorEastAsia"/>
          <w:bCs/>
          <w:color w:val="auto"/>
          <w:kern w:val="0"/>
          <w:sz w:val="28"/>
          <w:szCs w:val="28"/>
          <w:lang w:val="en-US" w:eastAsia="zh-CN"/>
        </w:rPr>
        <w:t>3</w:t>
      </w:r>
      <w:r>
        <w:rPr>
          <w:rFonts w:hint="eastAsia" w:cs="宋体" w:asciiTheme="minorEastAsia" w:hAnsiTheme="minorEastAsia" w:eastAsiaTheme="minorEastAsia"/>
          <w:bCs/>
          <w:color w:val="auto"/>
          <w:kern w:val="0"/>
          <w:sz w:val="28"/>
          <w:szCs w:val="28"/>
        </w:rPr>
        <w:t>.中标供应商所提供的设备、材料需经采购人和使用单位验收，如发现有任何质量问题(例如与要求不符、外观损伤等)，中标供应商必须立即以同等型号的设备在采购人和使用单位规定的时间内无偿更换，确保质量。</w:t>
      </w:r>
    </w:p>
    <w:p w14:paraId="51DBA4B3">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
          <w:bCs w:val="0"/>
          <w:color w:val="auto"/>
          <w:kern w:val="0"/>
          <w:sz w:val="28"/>
          <w:szCs w:val="28"/>
        </w:rPr>
        <w:t>九、项目款支付。</w:t>
      </w:r>
      <w:r>
        <w:rPr>
          <w:rFonts w:hint="eastAsia" w:cs="宋体" w:asciiTheme="minorEastAsia" w:hAnsiTheme="minorEastAsia" w:eastAsiaTheme="minorEastAsia"/>
          <w:bCs/>
          <w:color w:val="auto"/>
          <w:kern w:val="0"/>
          <w:sz w:val="28"/>
          <w:szCs w:val="28"/>
        </w:rPr>
        <w:t>完成项目工作并验收合格后，中标供应商在15个工作日内按合同总价的100％开具发票交</w:t>
      </w:r>
      <w:r>
        <w:rPr>
          <w:rFonts w:hint="eastAsia" w:cs="宋体" w:asciiTheme="minorEastAsia" w:hAnsiTheme="minorEastAsia" w:eastAsiaTheme="minorEastAsia"/>
          <w:bCs/>
          <w:color w:val="auto"/>
          <w:kern w:val="0"/>
          <w:sz w:val="28"/>
          <w:szCs w:val="28"/>
          <w:lang w:val="en-US" w:eastAsia="zh-CN"/>
        </w:rPr>
        <w:t>采购</w:t>
      </w:r>
      <w:r>
        <w:rPr>
          <w:rFonts w:hint="eastAsia" w:cs="宋体" w:asciiTheme="minorEastAsia" w:hAnsiTheme="minorEastAsia" w:eastAsiaTheme="minorEastAsia"/>
          <w:bCs/>
          <w:color w:val="auto"/>
          <w:kern w:val="0"/>
          <w:sz w:val="28"/>
          <w:szCs w:val="28"/>
        </w:rPr>
        <w:t>方办理支付手续，待采购人资金到位后支付。</w:t>
      </w:r>
    </w:p>
    <w:p w14:paraId="276BDDF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注：付款时间为采购人向财政支付部门提出支付申请的时间（不含政府财政支付部门和采购人财务部门审查的时间）。</w:t>
      </w:r>
    </w:p>
    <w:p w14:paraId="020EB97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cs="宋体" w:asciiTheme="minorEastAsia" w:hAnsiTheme="minorEastAsia" w:eastAsiaTheme="minorEastAsia"/>
          <w:b/>
          <w:bCs w:val="0"/>
          <w:color w:val="auto"/>
          <w:kern w:val="0"/>
          <w:sz w:val="28"/>
          <w:szCs w:val="28"/>
        </w:rPr>
      </w:pPr>
      <w:r>
        <w:rPr>
          <w:rFonts w:hint="eastAsia" w:cs="宋体" w:asciiTheme="minorEastAsia" w:hAnsiTheme="minorEastAsia" w:eastAsiaTheme="minorEastAsia"/>
          <w:b/>
          <w:bCs w:val="0"/>
          <w:color w:val="auto"/>
          <w:kern w:val="0"/>
          <w:sz w:val="28"/>
          <w:szCs w:val="28"/>
        </w:rPr>
        <w:t>十、投标报价及评标方法</w:t>
      </w:r>
    </w:p>
    <w:p w14:paraId="2C42241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（1）投标方应依据</w:t>
      </w:r>
      <w:r>
        <w:rPr>
          <w:rFonts w:hint="eastAsia" w:cs="宋体" w:asciiTheme="minorEastAsia" w:hAnsiTheme="minorEastAsia" w:eastAsiaTheme="minorEastAsia"/>
          <w:bCs/>
          <w:color w:val="auto"/>
          <w:kern w:val="0"/>
          <w:sz w:val="28"/>
          <w:szCs w:val="28"/>
          <w:lang w:val="en-US" w:eastAsia="zh-CN"/>
        </w:rPr>
        <w:t>招标公告</w:t>
      </w:r>
      <w:r>
        <w:rPr>
          <w:rFonts w:hint="eastAsia" w:cs="宋体" w:asciiTheme="minorEastAsia" w:hAnsiTheme="minorEastAsia" w:eastAsiaTheme="minorEastAsia"/>
          <w:bCs/>
          <w:color w:val="auto"/>
          <w:kern w:val="0"/>
          <w:sz w:val="28"/>
          <w:szCs w:val="28"/>
        </w:rPr>
        <w:t>（附件</w:t>
      </w:r>
      <w:r>
        <w:rPr>
          <w:rFonts w:hint="eastAsia" w:cs="宋体" w:asciiTheme="minorEastAsia" w:hAnsiTheme="minorEastAsia" w:eastAsiaTheme="minorEastAsia"/>
          <w:bCs/>
          <w:color w:val="auto"/>
          <w:kern w:val="0"/>
          <w:sz w:val="28"/>
          <w:szCs w:val="28"/>
          <w:lang w:val="en-US" w:eastAsia="zh-CN"/>
        </w:rPr>
        <w:t>2</w:t>
      </w:r>
      <w:r>
        <w:rPr>
          <w:rFonts w:hint="eastAsia" w:cs="宋体" w:asciiTheme="minorEastAsia" w:hAnsiTheme="minorEastAsia" w:eastAsiaTheme="minorEastAsia"/>
          <w:bCs/>
          <w:color w:val="auto"/>
          <w:kern w:val="0"/>
          <w:sz w:val="28"/>
          <w:szCs w:val="28"/>
        </w:rPr>
        <w:t>）《项目报价表》以及现场勘察结果，认真填写项目报价表以提交投标报价。投标报价不得超出项目预算金额，若报价超出预算，将被视为无效报价。</w:t>
      </w:r>
    </w:p>
    <w:p w14:paraId="2922317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（2）本项目评标方法采用</w:t>
      </w:r>
      <w:r>
        <w:rPr>
          <w:rFonts w:hint="eastAsia" w:cs="宋体" w:asciiTheme="minorEastAsia" w:hAnsiTheme="minorEastAsia" w:eastAsiaTheme="minorEastAsia"/>
          <w:bCs/>
          <w:color w:val="auto"/>
          <w:kern w:val="0"/>
          <w:sz w:val="28"/>
          <w:szCs w:val="28"/>
          <w:lang w:val="en-US" w:eastAsia="zh-CN"/>
        </w:rPr>
        <w:t>综合评份法</w:t>
      </w:r>
      <w:r>
        <w:rPr>
          <w:rFonts w:hint="eastAsia" w:cs="宋体" w:asciiTheme="minorEastAsia" w:hAnsiTheme="minorEastAsia" w:eastAsiaTheme="minorEastAsia"/>
          <w:bCs/>
          <w:color w:val="auto"/>
          <w:kern w:val="0"/>
          <w:sz w:val="28"/>
          <w:szCs w:val="28"/>
        </w:rPr>
        <w:t>。</w:t>
      </w:r>
    </w:p>
    <w:p w14:paraId="631039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s="宋体" w:asciiTheme="minorEastAsia" w:hAnsiTheme="minorEastAsia" w:eastAsiaTheme="minorEastAsia"/>
          <w:bCs/>
          <w:color w:val="auto"/>
          <w:kern w:val="0"/>
          <w:sz w:val="28"/>
          <w:szCs w:val="28"/>
        </w:rPr>
      </w:pPr>
    </w:p>
    <w:p w14:paraId="3E98CCDD">
      <w:pPr>
        <w:spacing w:line="360" w:lineRule="auto"/>
        <w:ind w:firstLine="560" w:firstLineChars="200"/>
        <w:rPr>
          <w:rFonts w:cs="宋体" w:asciiTheme="minorEastAsia" w:hAnsiTheme="minorEastAsia" w:eastAsiaTheme="minorEastAsia"/>
          <w:bCs/>
          <w:color w:val="auto"/>
          <w:kern w:val="0"/>
          <w:sz w:val="28"/>
          <w:szCs w:val="28"/>
        </w:rPr>
      </w:pPr>
    </w:p>
    <w:p w14:paraId="3D309071">
      <w:pPr>
        <w:spacing w:line="360" w:lineRule="auto"/>
        <w:ind w:firstLine="560" w:firstLineChars="200"/>
        <w:rPr>
          <w:rFonts w:cs="宋体" w:asciiTheme="minorEastAsia" w:hAnsiTheme="minorEastAsia" w:eastAsiaTheme="minorEastAsia"/>
          <w:bCs/>
          <w:color w:val="auto"/>
          <w:kern w:val="0"/>
          <w:sz w:val="28"/>
          <w:szCs w:val="28"/>
        </w:rPr>
      </w:pPr>
    </w:p>
    <w:p w14:paraId="3B31F2A2">
      <w:pPr>
        <w:spacing w:line="360" w:lineRule="auto"/>
        <w:ind w:firstLine="560" w:firstLineChars="200"/>
        <w:rPr>
          <w:rFonts w:cs="宋体" w:asciiTheme="minorEastAsia" w:hAnsiTheme="minorEastAsia" w:eastAsiaTheme="minorEastAsia"/>
          <w:bCs/>
          <w:color w:val="auto"/>
          <w:kern w:val="0"/>
          <w:sz w:val="28"/>
          <w:szCs w:val="28"/>
        </w:rPr>
      </w:pPr>
    </w:p>
    <w:p w14:paraId="3748B426">
      <w:pPr>
        <w:spacing w:line="360" w:lineRule="auto"/>
        <w:ind w:firstLine="560" w:firstLineChars="200"/>
        <w:rPr>
          <w:rFonts w:cs="宋体" w:asciiTheme="minorEastAsia" w:hAnsiTheme="minorEastAsia" w:eastAsiaTheme="minorEastAsia"/>
          <w:bCs/>
          <w:color w:val="auto"/>
          <w:kern w:val="0"/>
          <w:sz w:val="28"/>
          <w:szCs w:val="28"/>
        </w:rPr>
      </w:pPr>
    </w:p>
    <w:p w14:paraId="4DE6A04B">
      <w:pPr>
        <w:spacing w:line="360" w:lineRule="auto"/>
        <w:ind w:firstLine="560" w:firstLineChars="200"/>
        <w:rPr>
          <w:rFonts w:cs="宋体" w:asciiTheme="minorEastAsia" w:hAnsiTheme="minorEastAsia" w:eastAsiaTheme="minorEastAsia"/>
          <w:bCs/>
          <w:color w:val="auto"/>
          <w:kern w:val="0"/>
          <w:sz w:val="28"/>
          <w:szCs w:val="28"/>
        </w:rPr>
      </w:pPr>
    </w:p>
    <w:p w14:paraId="1777987B">
      <w:pPr>
        <w:spacing w:line="360" w:lineRule="auto"/>
        <w:ind w:firstLine="560" w:firstLineChars="200"/>
        <w:rPr>
          <w:rFonts w:cs="宋体" w:asciiTheme="minorEastAsia" w:hAnsiTheme="minorEastAsia" w:eastAsiaTheme="minorEastAsia"/>
          <w:bCs/>
          <w:color w:val="auto"/>
          <w:kern w:val="0"/>
          <w:sz w:val="28"/>
          <w:szCs w:val="28"/>
        </w:rPr>
      </w:pPr>
    </w:p>
    <w:p w14:paraId="0A6092C1">
      <w:pPr>
        <w:numPr>
          <w:ilvl w:val="0"/>
          <w:numId w:val="1"/>
        </w:numPr>
        <w:jc w:val="center"/>
        <w:rPr>
          <w:rFonts w:hint="eastAsia" w:cs="宋体" w:asciiTheme="minorEastAsia" w:hAnsiTheme="minorEastAsia" w:eastAsiaTheme="minorEastAsia"/>
          <w:b/>
          <w:color w:val="auto"/>
          <w:szCs w:val="30"/>
        </w:rPr>
      </w:pPr>
      <w:r>
        <w:rPr>
          <w:rFonts w:hint="eastAsia" w:cs="宋体" w:asciiTheme="minorEastAsia" w:hAnsiTheme="minorEastAsia" w:eastAsiaTheme="minorEastAsia"/>
          <w:b/>
          <w:color w:val="auto"/>
          <w:szCs w:val="30"/>
        </w:rPr>
        <w:t xml:space="preserve"> 评分标准</w:t>
      </w:r>
    </w:p>
    <w:p w14:paraId="6C4F0632">
      <w:pPr>
        <w:pStyle w:val="8"/>
        <w:spacing w:line="480" w:lineRule="exact"/>
        <w:ind w:firstLine="480" w:firstLineChars="200"/>
        <w:rPr>
          <w:rFonts w:hint="eastAsia" w:cs="宋体" w:asciiTheme="minorEastAsia" w:hAnsiTheme="minorEastAsia" w:eastAsiaTheme="minorEastAsia"/>
          <w:b/>
          <w:color w:val="auto"/>
          <w:szCs w:val="30"/>
        </w:rPr>
      </w:pPr>
      <w:r>
        <w:rPr>
          <w:rFonts w:hint="eastAsia" w:hAnsi="宋体" w:cs="宋体"/>
          <w:color w:val="auto"/>
          <w:sz w:val="24"/>
          <w:szCs w:val="24"/>
        </w:rPr>
        <w:t>本次采用综合评分法，权重分配为：价格部份为</w:t>
      </w:r>
      <w:r>
        <w:rPr>
          <w:rFonts w:hint="eastAsia" w:hAnsi="宋体" w:cs="宋体"/>
          <w:color w:val="auto"/>
          <w:sz w:val="24"/>
          <w:szCs w:val="24"/>
          <w:lang w:val="en-US" w:eastAsia="zh-CN"/>
        </w:rPr>
        <w:t>30</w:t>
      </w:r>
      <w:r>
        <w:rPr>
          <w:rFonts w:hint="eastAsia" w:hAnsi="宋体" w:cs="宋体"/>
          <w:color w:val="auto"/>
          <w:sz w:val="24"/>
          <w:szCs w:val="24"/>
        </w:rPr>
        <w:t>%，</w:t>
      </w:r>
      <w:r>
        <w:rPr>
          <w:rFonts w:hint="eastAsia" w:hAnsi="宋体" w:cs="宋体"/>
          <w:color w:val="auto"/>
          <w:sz w:val="24"/>
          <w:szCs w:val="24"/>
          <w:lang w:val="en-US" w:eastAsia="zh-CN"/>
        </w:rPr>
        <w:t>技术部份</w:t>
      </w:r>
      <w:r>
        <w:rPr>
          <w:rFonts w:hint="eastAsia" w:hAnsi="宋体" w:cs="宋体"/>
          <w:color w:val="auto"/>
          <w:sz w:val="24"/>
          <w:szCs w:val="24"/>
        </w:rPr>
        <w:t>为</w:t>
      </w:r>
      <w:r>
        <w:rPr>
          <w:rFonts w:hint="eastAsia" w:hAnsi="宋体" w:cs="宋体"/>
          <w:color w:val="auto"/>
          <w:sz w:val="24"/>
          <w:szCs w:val="24"/>
          <w:lang w:val="en-US" w:eastAsia="zh-CN"/>
        </w:rPr>
        <w:t>49%，</w:t>
      </w:r>
      <w:r>
        <w:rPr>
          <w:rFonts w:hint="eastAsia" w:hAnsi="宋体" w:cs="宋体"/>
          <w:color w:val="auto"/>
          <w:sz w:val="24"/>
          <w:szCs w:val="24"/>
        </w:rPr>
        <w:t>商务部分为</w:t>
      </w:r>
      <w:r>
        <w:rPr>
          <w:rFonts w:hint="eastAsia" w:hAnsi="宋体" w:cs="宋体"/>
          <w:color w:val="auto"/>
          <w:sz w:val="24"/>
          <w:szCs w:val="24"/>
          <w:lang w:val="en-US" w:eastAsia="zh-CN"/>
        </w:rPr>
        <w:t>21</w:t>
      </w:r>
      <w:r>
        <w:rPr>
          <w:rFonts w:hint="eastAsia" w:hAnsi="宋体" w:cs="宋体"/>
          <w:color w:val="auto"/>
          <w:sz w:val="24"/>
          <w:szCs w:val="24"/>
        </w:rPr>
        <w:t>%</w:t>
      </w:r>
      <w:r>
        <w:rPr>
          <w:rFonts w:hint="eastAsia" w:hAnsi="宋体" w:cs="宋体"/>
          <w:color w:val="auto"/>
          <w:sz w:val="24"/>
          <w:szCs w:val="24"/>
          <w:lang w:eastAsia="zh-CN"/>
        </w:rPr>
        <w:t>，</w:t>
      </w:r>
      <w:r>
        <w:rPr>
          <w:rFonts w:hint="eastAsia" w:hAnsi="宋体" w:cs="宋体"/>
          <w:color w:val="auto"/>
          <w:sz w:val="24"/>
          <w:szCs w:val="24"/>
          <w:lang w:val="en-US" w:eastAsia="zh-CN"/>
        </w:rPr>
        <w:t>合计100%</w:t>
      </w:r>
      <w:r>
        <w:rPr>
          <w:rFonts w:hint="eastAsia" w:hAnsi="宋体" w:cs="宋体"/>
          <w:color w:val="auto"/>
          <w:sz w:val="24"/>
          <w:szCs w:val="24"/>
        </w:rPr>
        <w:t>。</w:t>
      </w:r>
    </w:p>
    <w:tbl>
      <w:tblPr>
        <w:tblStyle w:val="15"/>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21"/>
        <w:gridCol w:w="1145"/>
        <w:gridCol w:w="900"/>
        <w:gridCol w:w="5080"/>
      </w:tblGrid>
      <w:tr w14:paraId="1BB8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vAlign w:val="center"/>
          </w:tcPr>
          <w:p w14:paraId="10A37F3F">
            <w:pPr>
              <w:spacing w:line="48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921" w:type="dxa"/>
            <w:vAlign w:val="center"/>
          </w:tcPr>
          <w:p w14:paraId="26A21F21">
            <w:pPr>
              <w:spacing w:line="48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类别</w:t>
            </w:r>
          </w:p>
        </w:tc>
        <w:tc>
          <w:tcPr>
            <w:tcW w:w="1145" w:type="dxa"/>
            <w:vAlign w:val="center"/>
          </w:tcPr>
          <w:p w14:paraId="5871CA5B">
            <w:pPr>
              <w:spacing w:line="48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w:t>
            </w:r>
          </w:p>
        </w:tc>
        <w:tc>
          <w:tcPr>
            <w:tcW w:w="900" w:type="dxa"/>
            <w:vAlign w:val="center"/>
          </w:tcPr>
          <w:p w14:paraId="34B58E40">
            <w:pPr>
              <w:spacing w:line="48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配分</w:t>
            </w:r>
          </w:p>
        </w:tc>
        <w:tc>
          <w:tcPr>
            <w:tcW w:w="5080" w:type="dxa"/>
            <w:vAlign w:val="center"/>
          </w:tcPr>
          <w:p w14:paraId="3686A2CD">
            <w:pPr>
              <w:spacing w:line="48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具体内容要求</w:t>
            </w:r>
          </w:p>
        </w:tc>
      </w:tr>
      <w:tr w14:paraId="05D0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5869478E">
            <w:pPr>
              <w:spacing w:line="480" w:lineRule="exact"/>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19E241C7">
            <w:pPr>
              <w:spacing w:line="48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价格部分</w:t>
            </w:r>
          </w:p>
        </w:tc>
        <w:tc>
          <w:tcPr>
            <w:tcW w:w="1145" w:type="dxa"/>
            <w:tcBorders>
              <w:top w:val="single" w:color="auto" w:sz="4" w:space="0"/>
              <w:left w:val="single" w:color="auto" w:sz="4" w:space="0"/>
              <w:bottom w:val="single" w:color="auto" w:sz="4" w:space="0"/>
              <w:right w:val="single" w:color="auto" w:sz="4" w:space="0"/>
            </w:tcBorders>
            <w:vAlign w:val="center"/>
          </w:tcPr>
          <w:p w14:paraId="1EE3A7BB">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价格评分</w:t>
            </w:r>
          </w:p>
        </w:tc>
        <w:tc>
          <w:tcPr>
            <w:tcW w:w="900" w:type="dxa"/>
            <w:tcBorders>
              <w:top w:val="single" w:color="auto" w:sz="4" w:space="0"/>
              <w:left w:val="single" w:color="auto" w:sz="4" w:space="0"/>
              <w:bottom w:val="single" w:color="auto" w:sz="4" w:space="0"/>
              <w:right w:val="single" w:color="auto" w:sz="4" w:space="0"/>
            </w:tcBorders>
            <w:vAlign w:val="center"/>
          </w:tcPr>
          <w:p w14:paraId="49BC307D">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30</w:t>
            </w:r>
            <w:r>
              <w:rPr>
                <w:rFonts w:hint="eastAsia" w:asciiTheme="minorEastAsia" w:hAnsiTheme="minorEastAsia" w:eastAsiaTheme="minorEastAsia"/>
                <w:color w:val="auto"/>
                <w:sz w:val="24"/>
                <w:szCs w:val="24"/>
              </w:rPr>
              <w:t>分</w:t>
            </w:r>
          </w:p>
        </w:tc>
        <w:tc>
          <w:tcPr>
            <w:tcW w:w="5080" w:type="dxa"/>
            <w:tcBorders>
              <w:top w:val="single" w:color="auto" w:sz="4" w:space="0"/>
              <w:left w:val="single" w:color="auto" w:sz="4" w:space="0"/>
              <w:bottom w:val="single" w:color="auto" w:sz="4" w:space="0"/>
              <w:right w:val="single" w:color="auto" w:sz="4" w:space="0"/>
            </w:tcBorders>
            <w:vAlign w:val="center"/>
          </w:tcPr>
          <w:p w14:paraId="0E894A78">
            <w:pPr>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价格分计算方法：</w:t>
            </w:r>
          </w:p>
          <w:p w14:paraId="220BEA54">
            <w:pPr>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1.满足招标要求且投标价格最低的投标报价为评标基准价，其价格分为满分；</w:t>
            </w:r>
          </w:p>
          <w:p w14:paraId="2EBC27FC">
            <w:pPr>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2.其他投标单位的价格分统一按照下列公式计算：投标报价得分=(评标基准价／投标报价)×（价格权重</w:t>
            </w:r>
            <w:r>
              <w:rPr>
                <w:rFonts w:hint="eastAsia" w:asciiTheme="minorEastAsia" w:hAnsiTheme="minorEastAsia" w:eastAsiaTheme="minorEastAsia"/>
                <w:color w:val="auto"/>
                <w:sz w:val="24"/>
                <w:szCs w:val="24"/>
                <w:lang w:val="en-US" w:eastAsia="zh-CN"/>
              </w:rPr>
              <w:t>30</w:t>
            </w:r>
            <w:r>
              <w:rPr>
                <w:rFonts w:hint="eastAsia" w:asciiTheme="minorEastAsia" w:hAnsiTheme="minorEastAsia" w:eastAsiaTheme="minorEastAsia"/>
                <w:color w:val="auto"/>
                <w:sz w:val="24"/>
                <w:szCs w:val="24"/>
              </w:rPr>
              <w:t>%）×100。</w:t>
            </w:r>
          </w:p>
          <w:p w14:paraId="22BC3DC1">
            <w:pPr>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备注：报价超出限价的为无效。</w:t>
            </w:r>
          </w:p>
        </w:tc>
      </w:tr>
      <w:tr w14:paraId="330C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30D6DEEC">
            <w:pPr>
              <w:spacing w:line="480" w:lineRule="exact"/>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w:t>
            </w:r>
          </w:p>
        </w:tc>
        <w:tc>
          <w:tcPr>
            <w:tcW w:w="921" w:type="dxa"/>
            <w:vMerge w:val="restart"/>
            <w:tcBorders>
              <w:top w:val="single" w:color="auto" w:sz="4" w:space="0"/>
              <w:left w:val="single" w:color="auto" w:sz="4" w:space="0"/>
              <w:right w:val="single" w:color="auto" w:sz="4" w:space="0"/>
            </w:tcBorders>
            <w:vAlign w:val="center"/>
          </w:tcPr>
          <w:p w14:paraId="0867B15C">
            <w:pPr>
              <w:spacing w:line="48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技术部分</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445EE718">
            <w:pPr>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olor w:val="auto"/>
                <w:sz w:val="24"/>
                <w:szCs w:val="24"/>
              </w:rPr>
              <w:t>响应情况</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FE04FCF">
            <w:pPr>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olor w:val="auto"/>
                <w:sz w:val="24"/>
                <w:szCs w:val="24"/>
                <w:lang w:val="en-US" w:eastAsia="zh-CN"/>
              </w:rPr>
              <w:t>15分</w:t>
            </w:r>
          </w:p>
        </w:tc>
        <w:tc>
          <w:tcPr>
            <w:tcW w:w="5080" w:type="dxa"/>
            <w:tcBorders>
              <w:top w:val="single" w:color="auto" w:sz="4" w:space="0"/>
              <w:left w:val="single" w:color="auto" w:sz="4" w:space="0"/>
              <w:bottom w:val="single" w:color="auto" w:sz="4" w:space="0"/>
              <w:right w:val="single" w:color="auto" w:sz="4" w:space="0"/>
            </w:tcBorders>
            <w:shd w:val="clear" w:color="auto" w:fill="auto"/>
            <w:vAlign w:val="center"/>
          </w:tcPr>
          <w:p w14:paraId="2C1EC3CD">
            <w:pPr>
              <w:ind w:firstLine="480" w:firstLineChars="200"/>
              <w:jc w:val="left"/>
              <w:rPr>
                <w:rFonts w:hint="eastAsia" w:ascii="宋体" w:hAnsi="宋体" w:eastAsia="宋体" w:cs="宋体"/>
                <w:color w:val="auto"/>
                <w:kern w:val="2"/>
                <w:sz w:val="18"/>
                <w:szCs w:val="18"/>
                <w:highlight w:val="none"/>
                <w:lang w:val="en-US" w:eastAsia="zh-CN" w:bidi="ar-SA"/>
              </w:rPr>
            </w:pPr>
            <w:r>
              <w:rPr>
                <w:rFonts w:hint="eastAsia" w:asciiTheme="minorEastAsia" w:hAnsiTheme="minorEastAsia" w:eastAsiaTheme="minorEastAsia"/>
                <w:color w:val="auto"/>
                <w:sz w:val="24"/>
                <w:szCs w:val="24"/>
              </w:rPr>
              <w:t>投标人在投标文件对采购人技术标准与要求的响应情况。</w:t>
            </w:r>
            <w:r>
              <w:rPr>
                <w:rFonts w:hint="eastAsia" w:asciiTheme="minorEastAsia" w:hAnsiTheme="minorEastAsia" w:eastAsiaTheme="minorEastAsia"/>
                <w:color w:val="auto"/>
                <w:sz w:val="24"/>
                <w:szCs w:val="24"/>
                <w:lang w:val="en-US" w:eastAsia="zh-CN"/>
              </w:rPr>
              <w:t>对应需求书中</w:t>
            </w:r>
            <w:r>
              <w:rPr>
                <w:rFonts w:hint="eastAsia" w:asciiTheme="minorEastAsia" w:hAnsiTheme="minorEastAsia" w:eastAsiaTheme="minorEastAsia"/>
                <w:color w:val="auto"/>
                <w:sz w:val="24"/>
                <w:szCs w:val="24"/>
              </w:rPr>
              <w:t>“货物详细设备要求及技术参数”</w:t>
            </w:r>
            <w:r>
              <w:rPr>
                <w:rFonts w:hint="eastAsia" w:asciiTheme="minorEastAsia" w:hAnsiTheme="minorEastAsia" w:eastAsiaTheme="minorEastAsia"/>
                <w:color w:val="auto"/>
                <w:sz w:val="24"/>
                <w:szCs w:val="24"/>
                <w:lang w:val="en-US" w:eastAsia="zh-CN"/>
              </w:rPr>
              <w:t>中的“参数要求”</w:t>
            </w:r>
            <w:r>
              <w:rPr>
                <w:rFonts w:hint="eastAsia" w:asciiTheme="minorEastAsia" w:hAnsiTheme="minorEastAsia" w:eastAsiaTheme="minorEastAsia"/>
                <w:color w:val="auto"/>
                <w:sz w:val="24"/>
                <w:szCs w:val="24"/>
              </w:rPr>
              <w:t>偏离</w:t>
            </w:r>
            <w:r>
              <w:rPr>
                <w:rFonts w:hint="eastAsia" w:asciiTheme="minorEastAsia" w:hAnsiTheme="minorEastAsia" w:eastAsiaTheme="minorEastAsia"/>
                <w:color w:val="auto"/>
                <w:sz w:val="24"/>
                <w:szCs w:val="24"/>
                <w:lang w:val="en-US" w:eastAsia="zh-CN"/>
              </w:rPr>
              <w:t>情况</w:t>
            </w:r>
            <w:r>
              <w:rPr>
                <w:rFonts w:hint="eastAsia" w:asciiTheme="minorEastAsia" w:hAnsiTheme="minorEastAsia" w:eastAsiaTheme="minorEastAsia"/>
                <w:color w:val="auto"/>
                <w:sz w:val="24"/>
                <w:szCs w:val="24"/>
              </w:rPr>
              <w:t>进行打分；本项总得分为</w:t>
            </w:r>
            <w:r>
              <w:rPr>
                <w:rFonts w:hint="eastAsia" w:asciiTheme="minorEastAsia" w:hAnsiTheme="minorEastAsia" w:eastAsiaTheme="minorEastAsia"/>
                <w:color w:val="auto"/>
                <w:sz w:val="24"/>
                <w:szCs w:val="24"/>
                <w:lang w:val="en-US" w:eastAsia="zh-CN"/>
              </w:rPr>
              <w:t>15</w:t>
            </w:r>
            <w:r>
              <w:rPr>
                <w:rFonts w:hint="eastAsia" w:asciiTheme="minorEastAsia" w:hAnsiTheme="minorEastAsia" w:eastAsiaTheme="minorEastAsia"/>
                <w:color w:val="auto"/>
                <w:sz w:val="24"/>
                <w:szCs w:val="24"/>
              </w:rPr>
              <w:t>分，每有一项参数负偏离扣</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分，扣完为止。</w:t>
            </w:r>
          </w:p>
        </w:tc>
      </w:tr>
      <w:tr w14:paraId="5A0A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5B432F69">
            <w:pPr>
              <w:spacing w:line="48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3</w:t>
            </w:r>
          </w:p>
        </w:tc>
        <w:tc>
          <w:tcPr>
            <w:tcW w:w="921" w:type="dxa"/>
            <w:vMerge w:val="continue"/>
            <w:tcBorders>
              <w:left w:val="single" w:color="auto" w:sz="4" w:space="0"/>
              <w:right w:val="single" w:color="auto" w:sz="4" w:space="0"/>
            </w:tcBorders>
            <w:vAlign w:val="center"/>
          </w:tcPr>
          <w:p w14:paraId="486AA849">
            <w:pPr>
              <w:spacing w:line="480" w:lineRule="exact"/>
              <w:jc w:val="center"/>
              <w:rPr>
                <w:rFonts w:asciiTheme="minorEastAsia" w:hAnsiTheme="minorEastAsia" w:eastAsiaTheme="minorEastAsia"/>
                <w:color w:val="auto"/>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14:paraId="154BC266">
            <w:pPr>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技术参数</w:t>
            </w:r>
          </w:p>
        </w:tc>
        <w:tc>
          <w:tcPr>
            <w:tcW w:w="900" w:type="dxa"/>
            <w:tcBorders>
              <w:top w:val="single" w:color="auto" w:sz="4" w:space="0"/>
              <w:left w:val="single" w:color="auto" w:sz="4" w:space="0"/>
              <w:bottom w:val="single" w:color="auto" w:sz="4" w:space="0"/>
              <w:right w:val="single" w:color="auto" w:sz="4" w:space="0"/>
            </w:tcBorders>
            <w:vAlign w:val="center"/>
          </w:tcPr>
          <w:p w14:paraId="781CB9F2">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18</w:t>
            </w:r>
            <w:r>
              <w:rPr>
                <w:rFonts w:hint="eastAsia" w:asciiTheme="minorEastAsia" w:hAnsiTheme="minorEastAsia" w:eastAsiaTheme="minorEastAsia"/>
                <w:color w:val="auto"/>
                <w:sz w:val="24"/>
                <w:szCs w:val="24"/>
              </w:rPr>
              <w:t>分</w:t>
            </w:r>
          </w:p>
        </w:tc>
        <w:tc>
          <w:tcPr>
            <w:tcW w:w="5080" w:type="dxa"/>
            <w:tcBorders>
              <w:top w:val="single" w:color="auto" w:sz="4" w:space="0"/>
              <w:left w:val="single" w:color="auto" w:sz="4" w:space="0"/>
              <w:bottom w:val="single" w:color="auto" w:sz="4" w:space="0"/>
              <w:right w:val="single" w:color="auto" w:sz="4" w:space="0"/>
            </w:tcBorders>
          </w:tcPr>
          <w:p w14:paraId="264A2630">
            <w:pPr>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投标人在投标文件中提供对应项目需求中“货物详细设备要求及技术参数”标注</w:t>
            </w:r>
            <w:r>
              <w:rPr>
                <w:rFonts w:hint="eastAsia" w:cs="宋体" w:asciiTheme="minorEastAsia" w:hAnsiTheme="minorEastAsia" w:eastAsiaTheme="minorEastAsia"/>
                <w:color w:val="auto"/>
                <w:kern w:val="0"/>
                <w:sz w:val="20"/>
              </w:rPr>
              <w:t>▲</w:t>
            </w:r>
            <w:r>
              <w:rPr>
                <w:rFonts w:hint="eastAsia" w:asciiTheme="minorEastAsia" w:hAnsiTheme="minorEastAsia" w:eastAsiaTheme="minorEastAsia"/>
                <w:color w:val="auto"/>
                <w:sz w:val="24"/>
                <w:szCs w:val="24"/>
              </w:rPr>
              <w:t>的技术指标</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需提供</w:t>
            </w:r>
            <w:r>
              <w:rPr>
                <w:rFonts w:hint="eastAsia" w:asciiTheme="minorEastAsia" w:hAnsiTheme="minorEastAsia" w:eastAsiaTheme="minorEastAsia"/>
                <w:color w:val="auto"/>
                <w:sz w:val="24"/>
                <w:szCs w:val="24"/>
                <w:lang w:val="en-US" w:eastAsia="zh-CN"/>
              </w:rPr>
              <w:t>相关证明材料及</w:t>
            </w:r>
            <w:r>
              <w:rPr>
                <w:rFonts w:hint="eastAsia" w:asciiTheme="minorEastAsia" w:hAnsiTheme="minorEastAsia" w:eastAsiaTheme="minorEastAsia"/>
                <w:color w:val="auto"/>
                <w:sz w:val="24"/>
                <w:szCs w:val="24"/>
              </w:rPr>
              <w:t>由CMA或CNAS认证的第三方专业机构出具的检测报告复印件，并加盖制造厂商公</w:t>
            </w:r>
            <w:r>
              <w:rPr>
                <w:rFonts w:hint="eastAsia" w:asciiTheme="minorEastAsia" w:hAnsiTheme="minorEastAsia" w:eastAsiaTheme="minorEastAsia"/>
                <w:color w:val="auto"/>
                <w:sz w:val="24"/>
                <w:szCs w:val="24"/>
                <w:lang w:val="en-US" w:eastAsia="zh-CN"/>
              </w:rPr>
              <w:t>章</w:t>
            </w:r>
            <w:r>
              <w:rPr>
                <w:rFonts w:hint="eastAsia" w:asciiTheme="minorEastAsia" w:hAnsiTheme="minorEastAsia" w:eastAsiaTheme="minorEastAsia"/>
                <w:color w:val="auto"/>
                <w:sz w:val="24"/>
                <w:szCs w:val="24"/>
              </w:rPr>
              <w:t>。</w:t>
            </w:r>
          </w:p>
          <w:p w14:paraId="76019D1C">
            <w:pPr>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标注</w:t>
            </w:r>
            <w:r>
              <w:rPr>
                <w:rFonts w:hint="eastAsia" w:cs="宋体" w:asciiTheme="minorEastAsia" w:hAnsiTheme="minorEastAsia" w:eastAsiaTheme="minorEastAsia"/>
                <w:color w:val="auto"/>
                <w:kern w:val="0"/>
                <w:sz w:val="20"/>
              </w:rPr>
              <w:t>▲</w:t>
            </w:r>
            <w:r>
              <w:rPr>
                <w:rFonts w:hint="eastAsia" w:asciiTheme="minorEastAsia" w:hAnsiTheme="minorEastAsia" w:eastAsiaTheme="minorEastAsia"/>
                <w:color w:val="auto"/>
                <w:sz w:val="24"/>
                <w:szCs w:val="24"/>
              </w:rPr>
              <w:t>的技术指标,每提供一项得</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分，不提供或提供的检验报告无效的不得分。本项得分不超过</w:t>
            </w:r>
            <w:r>
              <w:rPr>
                <w:rFonts w:hint="eastAsia" w:asciiTheme="minorEastAsia" w:hAnsiTheme="minorEastAsia" w:eastAsiaTheme="minorEastAsia"/>
                <w:color w:val="auto"/>
                <w:sz w:val="24"/>
                <w:szCs w:val="24"/>
                <w:lang w:val="en-US" w:eastAsia="zh-CN"/>
              </w:rPr>
              <w:t>18</w:t>
            </w:r>
            <w:r>
              <w:rPr>
                <w:rFonts w:hint="eastAsia" w:asciiTheme="minorEastAsia" w:hAnsiTheme="minorEastAsia" w:eastAsiaTheme="minorEastAsia"/>
                <w:color w:val="auto"/>
                <w:sz w:val="24"/>
                <w:szCs w:val="24"/>
              </w:rPr>
              <w:t>分。</w:t>
            </w:r>
          </w:p>
        </w:tc>
      </w:tr>
      <w:tr w14:paraId="502B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4237F45D">
            <w:pPr>
              <w:spacing w:line="480" w:lineRule="exact"/>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4</w:t>
            </w:r>
          </w:p>
        </w:tc>
        <w:tc>
          <w:tcPr>
            <w:tcW w:w="921" w:type="dxa"/>
            <w:vMerge w:val="continue"/>
            <w:tcBorders>
              <w:left w:val="single" w:color="auto" w:sz="4" w:space="0"/>
              <w:right w:val="single" w:color="auto" w:sz="4" w:space="0"/>
            </w:tcBorders>
            <w:vAlign w:val="center"/>
          </w:tcPr>
          <w:p w14:paraId="0B290906">
            <w:pPr>
              <w:spacing w:line="480" w:lineRule="exact"/>
              <w:jc w:val="center"/>
              <w:rPr>
                <w:rFonts w:asciiTheme="minorEastAsia" w:hAnsiTheme="minorEastAsia" w:eastAsiaTheme="minorEastAsia"/>
                <w:color w:val="auto"/>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14:paraId="12691162">
            <w:pPr>
              <w:jc w:val="center"/>
              <w:rPr>
                <w:rFonts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设计方案</w:t>
            </w:r>
          </w:p>
        </w:tc>
        <w:tc>
          <w:tcPr>
            <w:tcW w:w="900" w:type="dxa"/>
            <w:tcBorders>
              <w:top w:val="single" w:color="auto" w:sz="4" w:space="0"/>
              <w:left w:val="single" w:color="auto" w:sz="4" w:space="0"/>
              <w:bottom w:val="single" w:color="auto" w:sz="4" w:space="0"/>
              <w:right w:val="single" w:color="auto" w:sz="4" w:space="0"/>
            </w:tcBorders>
            <w:vAlign w:val="center"/>
          </w:tcPr>
          <w:p w14:paraId="67DC8695">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分</w:t>
            </w:r>
          </w:p>
        </w:tc>
        <w:tc>
          <w:tcPr>
            <w:tcW w:w="5080" w:type="dxa"/>
            <w:tcBorders>
              <w:top w:val="single" w:color="auto" w:sz="4" w:space="0"/>
              <w:left w:val="single" w:color="auto" w:sz="4" w:space="0"/>
              <w:bottom w:val="single" w:color="auto" w:sz="4" w:space="0"/>
              <w:right w:val="single" w:color="auto" w:sz="4" w:space="0"/>
            </w:tcBorders>
          </w:tcPr>
          <w:p w14:paraId="6F69E74D">
            <w:pPr>
              <w:ind w:firstLine="480" w:firstLineChars="200"/>
              <w:jc w:val="left"/>
              <w:rPr>
                <w:rFonts w:cs="Times New Roman"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投标人根据现场勘察对项目进行设计方案，</w:t>
            </w:r>
            <w:r>
              <w:rPr>
                <w:rFonts w:hint="eastAsia" w:cs="Times New Roman" w:asciiTheme="minorEastAsia" w:hAnsiTheme="minorEastAsia" w:eastAsiaTheme="minorEastAsia"/>
                <w:color w:val="auto"/>
                <w:sz w:val="24"/>
                <w:szCs w:val="24"/>
              </w:rPr>
              <w:t>对项目背景分析透彻，理解到位；对用户的各类需求有完备且清晰的分类表述，对项目整体建设思路有综合的描述及详细的架构设计，符合采购人的实际需求；设计方案需具备详细可靠的现状调研情况及需求分析。</w:t>
            </w:r>
          </w:p>
          <w:p w14:paraId="7B9725FD">
            <w:pPr>
              <w:ind w:firstLine="48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设计</w:t>
            </w:r>
            <w:r>
              <w:rPr>
                <w:rFonts w:hint="eastAsia" w:asciiTheme="minorEastAsia" w:hAnsiTheme="minorEastAsia" w:eastAsiaTheme="minorEastAsia"/>
                <w:color w:val="auto"/>
                <w:sz w:val="24"/>
                <w:szCs w:val="24"/>
              </w:rPr>
              <w:t>方案</w:t>
            </w:r>
            <w:r>
              <w:rPr>
                <w:rFonts w:hint="eastAsia" w:cs="Times New Roman" w:asciiTheme="minorEastAsia" w:hAnsiTheme="minorEastAsia" w:eastAsiaTheme="minorEastAsia"/>
                <w:color w:val="auto"/>
                <w:sz w:val="24"/>
                <w:szCs w:val="24"/>
              </w:rPr>
              <w:t>对项目整体建设思路有综合的描述及详细的架构设计，</w:t>
            </w:r>
            <w:r>
              <w:rPr>
                <w:rFonts w:hint="eastAsia" w:cs="Times New Roman" w:asciiTheme="minorEastAsia" w:hAnsiTheme="minorEastAsia" w:eastAsiaTheme="minorEastAsia"/>
                <w:color w:val="auto"/>
                <w:sz w:val="24"/>
                <w:szCs w:val="24"/>
                <w:lang w:val="en-US" w:eastAsia="zh-CN"/>
              </w:rPr>
              <w:t>完全</w:t>
            </w:r>
            <w:r>
              <w:rPr>
                <w:rFonts w:hint="eastAsia" w:cs="Times New Roman" w:asciiTheme="minorEastAsia" w:hAnsiTheme="minorEastAsia" w:eastAsiaTheme="minorEastAsia"/>
                <w:color w:val="auto"/>
                <w:sz w:val="24"/>
                <w:szCs w:val="24"/>
              </w:rPr>
              <w:t>符合采购人的实际需求</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 xml:space="preserve">分; </w:t>
            </w:r>
          </w:p>
          <w:p w14:paraId="700E1247">
            <w:pPr>
              <w:ind w:firstLine="48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val="en-US" w:eastAsia="zh-CN"/>
              </w:rPr>
              <w:t>设计</w:t>
            </w:r>
            <w:r>
              <w:rPr>
                <w:rFonts w:hint="eastAsia" w:asciiTheme="minorEastAsia" w:hAnsiTheme="minorEastAsia" w:eastAsiaTheme="minorEastAsia"/>
                <w:color w:val="auto"/>
                <w:sz w:val="24"/>
                <w:szCs w:val="24"/>
              </w:rPr>
              <w:t>方案</w:t>
            </w:r>
            <w:r>
              <w:rPr>
                <w:rFonts w:hint="eastAsia" w:cs="Times New Roman" w:asciiTheme="minorEastAsia" w:hAnsiTheme="minorEastAsia" w:eastAsiaTheme="minorEastAsia"/>
                <w:color w:val="auto"/>
                <w:sz w:val="24"/>
                <w:szCs w:val="24"/>
              </w:rPr>
              <w:t>对项目整体建设思路有综合的描述及详细的架构设计，</w:t>
            </w:r>
            <w:r>
              <w:rPr>
                <w:rFonts w:hint="eastAsia" w:cs="Times New Roman" w:asciiTheme="minorEastAsia" w:hAnsiTheme="minorEastAsia" w:eastAsiaTheme="minorEastAsia"/>
                <w:color w:val="auto"/>
                <w:sz w:val="24"/>
                <w:szCs w:val="24"/>
                <w:lang w:val="en-US" w:eastAsia="zh-CN"/>
              </w:rPr>
              <w:t>基本</w:t>
            </w:r>
            <w:r>
              <w:rPr>
                <w:rFonts w:hint="eastAsia" w:cs="Times New Roman" w:asciiTheme="minorEastAsia" w:hAnsiTheme="minorEastAsia" w:eastAsiaTheme="minorEastAsia"/>
                <w:color w:val="auto"/>
                <w:sz w:val="24"/>
                <w:szCs w:val="24"/>
              </w:rPr>
              <w:t>符合采购人的实际需求</w:t>
            </w:r>
            <w:r>
              <w:rPr>
                <w:rFonts w:hint="eastAsia" w:asciiTheme="minorEastAsia" w:hAnsiTheme="minorEastAsia" w:eastAsiaTheme="minorEastAsia"/>
                <w:color w:val="auto"/>
                <w:sz w:val="24"/>
                <w:szCs w:val="24"/>
              </w:rPr>
              <w:t>，得</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分;</w:t>
            </w:r>
          </w:p>
          <w:p w14:paraId="5683FF11">
            <w:pPr>
              <w:ind w:firstLine="48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设计</w:t>
            </w:r>
            <w:r>
              <w:rPr>
                <w:rFonts w:hint="eastAsia" w:asciiTheme="minorEastAsia" w:hAnsiTheme="minorEastAsia" w:eastAsiaTheme="minorEastAsia"/>
                <w:color w:val="auto"/>
                <w:sz w:val="24"/>
                <w:szCs w:val="24"/>
              </w:rPr>
              <w:t>方案</w:t>
            </w:r>
            <w:r>
              <w:rPr>
                <w:rFonts w:hint="eastAsia" w:cs="Times New Roman" w:asciiTheme="minorEastAsia" w:hAnsiTheme="minorEastAsia" w:eastAsiaTheme="minorEastAsia"/>
                <w:color w:val="auto"/>
                <w:sz w:val="24"/>
                <w:szCs w:val="24"/>
              </w:rPr>
              <w:t>对项目整体建设思路有综合的描述及详细的架构设计，</w:t>
            </w:r>
            <w:r>
              <w:rPr>
                <w:rFonts w:hint="eastAsia" w:cs="Times New Roman" w:asciiTheme="minorEastAsia" w:hAnsiTheme="minorEastAsia" w:eastAsiaTheme="minorEastAsia"/>
                <w:color w:val="auto"/>
                <w:sz w:val="24"/>
                <w:szCs w:val="24"/>
                <w:lang w:val="en-US" w:eastAsia="zh-CN"/>
              </w:rPr>
              <w:t>不能</w:t>
            </w:r>
            <w:r>
              <w:rPr>
                <w:rFonts w:hint="eastAsia" w:cs="Times New Roman" w:asciiTheme="minorEastAsia" w:hAnsiTheme="minorEastAsia" w:eastAsiaTheme="minorEastAsia"/>
                <w:color w:val="auto"/>
                <w:sz w:val="24"/>
                <w:szCs w:val="24"/>
              </w:rPr>
              <w:t>符合采购人的实际需求</w:t>
            </w:r>
            <w:r>
              <w:rPr>
                <w:rFonts w:hint="eastAsia" w:asciiTheme="minorEastAsia" w:hAnsiTheme="minorEastAsia" w:eastAsiaTheme="minorEastAsia"/>
                <w:color w:val="auto"/>
                <w:sz w:val="24"/>
                <w:szCs w:val="24"/>
              </w:rPr>
              <w:t>，得</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分;</w:t>
            </w:r>
          </w:p>
          <w:p w14:paraId="2105968C">
            <w:pPr>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lang w:val="en-US" w:eastAsia="zh-CN"/>
              </w:rPr>
              <w:t>不</w:t>
            </w:r>
            <w:r>
              <w:rPr>
                <w:rFonts w:hint="eastAsia" w:asciiTheme="minorEastAsia" w:hAnsiTheme="minorEastAsia" w:eastAsiaTheme="minorEastAsia"/>
                <w:color w:val="auto"/>
                <w:sz w:val="24"/>
                <w:szCs w:val="24"/>
              </w:rPr>
              <w:t>提供</w:t>
            </w:r>
            <w:r>
              <w:rPr>
                <w:rFonts w:hint="eastAsia" w:asciiTheme="minorEastAsia" w:hAnsiTheme="minorEastAsia" w:eastAsiaTheme="minorEastAsia"/>
                <w:color w:val="auto"/>
                <w:sz w:val="24"/>
                <w:szCs w:val="24"/>
                <w:lang w:val="en-US" w:eastAsia="zh-CN"/>
              </w:rPr>
              <w:t>设计</w:t>
            </w:r>
            <w:r>
              <w:rPr>
                <w:rFonts w:hint="eastAsia" w:asciiTheme="minorEastAsia" w:hAnsiTheme="minorEastAsia" w:eastAsiaTheme="minorEastAsia"/>
                <w:color w:val="auto"/>
                <w:sz w:val="24"/>
                <w:szCs w:val="24"/>
              </w:rPr>
              <w:t>方案的得</w:t>
            </w:r>
            <w:r>
              <w:rPr>
                <w:rFonts w:hint="eastAsia" w:asciiTheme="minorEastAsia" w:hAnsiTheme="minorEastAsia" w:eastAsiaTheme="minorEastAsia"/>
                <w:color w:val="auto"/>
                <w:sz w:val="24"/>
                <w:szCs w:val="24"/>
                <w:lang w:val="en-US" w:eastAsia="zh-CN"/>
              </w:rPr>
              <w:t>0</w:t>
            </w:r>
            <w:r>
              <w:rPr>
                <w:rFonts w:hint="eastAsia" w:asciiTheme="minorEastAsia" w:hAnsiTheme="minorEastAsia" w:eastAsiaTheme="minorEastAsia"/>
                <w:color w:val="auto"/>
                <w:sz w:val="24"/>
                <w:szCs w:val="24"/>
              </w:rPr>
              <w:t>分。</w:t>
            </w:r>
          </w:p>
        </w:tc>
      </w:tr>
      <w:tr w14:paraId="4857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C13D104">
            <w:pPr>
              <w:spacing w:line="480" w:lineRule="exact"/>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lang w:val="en-US" w:eastAsia="zh-CN"/>
              </w:rPr>
              <w:t>5</w:t>
            </w:r>
          </w:p>
        </w:tc>
        <w:tc>
          <w:tcPr>
            <w:tcW w:w="921" w:type="dxa"/>
            <w:vMerge w:val="continue"/>
            <w:tcBorders>
              <w:left w:val="single" w:color="auto" w:sz="4" w:space="0"/>
              <w:right w:val="single" w:color="auto" w:sz="4" w:space="0"/>
            </w:tcBorders>
            <w:shd w:val="clear" w:color="auto" w:fill="auto"/>
            <w:vAlign w:val="center"/>
          </w:tcPr>
          <w:p w14:paraId="78E02450">
            <w:pPr>
              <w:spacing w:line="480" w:lineRule="exact"/>
              <w:jc w:val="center"/>
              <w:rPr>
                <w:rFonts w:cs="Times New Roman" w:asciiTheme="minorEastAsia" w:hAnsiTheme="minorEastAsia" w:eastAsiaTheme="minorEastAsia"/>
                <w:color w:val="auto"/>
                <w:kern w:val="2"/>
                <w:sz w:val="24"/>
                <w:szCs w:val="24"/>
                <w:lang w:val="en-US" w:eastAsia="zh-CN" w:bidi="ar-SA"/>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18BA4615">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lang w:val="en-US" w:eastAsia="zh-CN"/>
              </w:rPr>
              <w:t>项目实施</w:t>
            </w:r>
            <w:r>
              <w:rPr>
                <w:rFonts w:hint="eastAsia" w:asciiTheme="minorEastAsia" w:hAnsiTheme="minorEastAsia" w:eastAsiaTheme="minorEastAsia"/>
                <w:color w:val="auto"/>
                <w:sz w:val="24"/>
                <w:szCs w:val="24"/>
              </w:rPr>
              <w:t>方案</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5CD01FC">
            <w:pPr>
              <w:jc w:val="center"/>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分</w:t>
            </w:r>
          </w:p>
        </w:tc>
        <w:tc>
          <w:tcPr>
            <w:tcW w:w="5080" w:type="dxa"/>
            <w:tcBorders>
              <w:top w:val="single" w:color="auto" w:sz="4" w:space="0"/>
              <w:left w:val="single" w:color="auto" w:sz="4" w:space="0"/>
              <w:bottom w:val="single" w:color="auto" w:sz="4" w:space="0"/>
              <w:right w:val="single" w:color="auto" w:sz="4" w:space="0"/>
            </w:tcBorders>
            <w:shd w:val="clear" w:color="auto" w:fill="auto"/>
            <w:vAlign w:val="center"/>
          </w:tcPr>
          <w:p w14:paraId="16D61E03">
            <w:pPr>
              <w:jc w:val="left"/>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根据</w:t>
            </w:r>
            <w:r>
              <w:rPr>
                <w:rFonts w:hint="eastAsia" w:asciiTheme="minorEastAsia" w:hAnsiTheme="minorEastAsia" w:eastAsiaTheme="minorEastAsia"/>
                <w:color w:val="auto"/>
                <w:sz w:val="24"/>
                <w:szCs w:val="24"/>
                <w:lang w:val="en-US" w:eastAsia="zh-CN"/>
              </w:rPr>
              <w:t>投标人</w:t>
            </w:r>
            <w:r>
              <w:rPr>
                <w:rFonts w:hint="eastAsia" w:asciiTheme="minorEastAsia" w:hAnsiTheme="minorEastAsia" w:eastAsiaTheme="minorEastAsia"/>
                <w:color w:val="auto"/>
                <w:sz w:val="24"/>
                <w:szCs w:val="24"/>
              </w:rPr>
              <w:t>针对本项目所编制的</w:t>
            </w:r>
            <w:r>
              <w:rPr>
                <w:rFonts w:hint="eastAsia" w:asciiTheme="minorEastAsia" w:hAnsiTheme="minorEastAsia" w:eastAsiaTheme="minorEastAsia"/>
                <w:color w:val="auto"/>
                <w:sz w:val="24"/>
                <w:szCs w:val="24"/>
                <w:lang w:val="en-US" w:eastAsia="zh-CN"/>
              </w:rPr>
              <w:t>项目实施</w:t>
            </w:r>
            <w:r>
              <w:rPr>
                <w:rFonts w:hint="eastAsia" w:asciiTheme="minorEastAsia" w:hAnsiTheme="minorEastAsia" w:eastAsiaTheme="minorEastAsia"/>
                <w:color w:val="auto"/>
                <w:sz w:val="24"/>
                <w:szCs w:val="24"/>
              </w:rPr>
              <w:t>方案进行评分</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方案内容包含但不限于：需求分析</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项目</w:t>
            </w:r>
            <w:r>
              <w:rPr>
                <w:rFonts w:hint="eastAsia" w:asciiTheme="minorEastAsia" w:hAnsiTheme="minorEastAsia" w:eastAsiaTheme="minorEastAsia"/>
                <w:color w:val="auto"/>
                <w:sz w:val="24"/>
                <w:szCs w:val="24"/>
                <w:lang w:val="en-US" w:eastAsia="zh-CN"/>
              </w:rPr>
              <w:t>实施、安全措施</w:t>
            </w:r>
            <w:r>
              <w:rPr>
                <w:rFonts w:hint="eastAsia" w:asciiTheme="minorEastAsia" w:hAnsiTheme="minorEastAsia" w:eastAsiaTheme="minorEastAsia"/>
                <w:color w:val="auto"/>
                <w:sz w:val="24"/>
                <w:szCs w:val="24"/>
              </w:rPr>
              <w:t>等</w:t>
            </w:r>
            <w:r>
              <w:rPr>
                <w:rFonts w:hint="eastAsia" w:asciiTheme="minorEastAsia" w:hAnsiTheme="minorEastAsia" w:eastAsiaTheme="minorEastAsia"/>
                <w:color w:val="auto"/>
                <w:sz w:val="24"/>
                <w:szCs w:val="24"/>
                <w:lang w:eastAsia="zh-CN"/>
              </w:rPr>
              <w:t>。</w:t>
            </w:r>
          </w:p>
          <w:p w14:paraId="12C88F20">
            <w:pPr>
              <w:numPr>
                <w:ilvl w:val="0"/>
                <w:numId w:val="2"/>
              </w:numPr>
              <w:ind w:left="120" w:leftChars="0" w:firstLine="0" w:firstLineChars="0"/>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方案结构严谨，具有很强的针对性、实用性和可行性，能完全满足项目的采购需求，语言表述准确清晰，方案可信度高的，得</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分；</w:t>
            </w:r>
          </w:p>
          <w:p w14:paraId="042A3889">
            <w:pPr>
              <w:numPr>
                <w:ilvl w:val="0"/>
                <w:numId w:val="2"/>
              </w:numPr>
              <w:ind w:left="120" w:leftChars="0" w:firstLine="0" w:firstLineChars="0"/>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方案结构较为严谨，具有较强的针对性、实用性和可行性，较为能够满足项目的采购需求，语言表述清晰，方案可信度较高的，得</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分；</w:t>
            </w:r>
          </w:p>
          <w:p w14:paraId="74E3C6FC">
            <w:pPr>
              <w:numPr>
                <w:ilvl w:val="0"/>
                <w:numId w:val="2"/>
              </w:numPr>
              <w:ind w:left="120" w:leftChars="0" w:firstLine="0" w:firstLineChars="0"/>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方案结构一般，缺乏针对性、实用性和可行性，不能满足项目的采购需求，语言表述不清晰，方案可信度低的，得</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分；</w:t>
            </w:r>
          </w:p>
          <w:p w14:paraId="5F2D19E7">
            <w:pPr>
              <w:numPr>
                <w:ilvl w:val="0"/>
                <w:numId w:val="2"/>
              </w:numPr>
              <w:ind w:left="120" w:leftChars="0" w:firstLine="0" w:firstLineChars="0"/>
              <w:jc w:val="left"/>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未提供或其他得0分。</w:t>
            </w:r>
          </w:p>
        </w:tc>
      </w:tr>
      <w:tr w14:paraId="397E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45E5BA19">
            <w:pPr>
              <w:spacing w:line="480" w:lineRule="exact"/>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6</w:t>
            </w:r>
          </w:p>
        </w:tc>
        <w:tc>
          <w:tcPr>
            <w:tcW w:w="921" w:type="dxa"/>
            <w:vMerge w:val="restart"/>
            <w:tcBorders>
              <w:top w:val="single" w:color="auto" w:sz="4" w:space="0"/>
              <w:left w:val="single" w:color="auto" w:sz="4" w:space="0"/>
              <w:right w:val="single" w:color="auto" w:sz="4" w:space="0"/>
            </w:tcBorders>
            <w:vAlign w:val="center"/>
          </w:tcPr>
          <w:p w14:paraId="013704FF">
            <w:pPr>
              <w:spacing w:line="48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商务部分</w:t>
            </w:r>
          </w:p>
        </w:tc>
        <w:tc>
          <w:tcPr>
            <w:tcW w:w="1145" w:type="dxa"/>
            <w:tcBorders>
              <w:top w:val="single" w:color="auto" w:sz="4" w:space="0"/>
              <w:left w:val="single" w:color="auto" w:sz="4" w:space="0"/>
              <w:bottom w:val="single" w:color="auto" w:sz="4" w:space="0"/>
              <w:right w:val="single" w:color="auto" w:sz="4" w:space="0"/>
            </w:tcBorders>
            <w:vAlign w:val="center"/>
          </w:tcPr>
          <w:p w14:paraId="2B5ABEF0">
            <w:pPr>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经营业绩</w:t>
            </w:r>
          </w:p>
        </w:tc>
        <w:tc>
          <w:tcPr>
            <w:tcW w:w="900" w:type="dxa"/>
            <w:tcBorders>
              <w:top w:val="single" w:color="auto" w:sz="4" w:space="0"/>
              <w:left w:val="single" w:color="auto" w:sz="4" w:space="0"/>
              <w:bottom w:val="single" w:color="auto" w:sz="4" w:space="0"/>
              <w:right w:val="single" w:color="auto" w:sz="4" w:space="0"/>
            </w:tcBorders>
            <w:vAlign w:val="center"/>
          </w:tcPr>
          <w:p w14:paraId="7BDC9B3B">
            <w:pPr>
              <w:spacing w:before="127"/>
              <w:ind w:left="107"/>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6分</w:t>
            </w:r>
          </w:p>
        </w:tc>
        <w:tc>
          <w:tcPr>
            <w:tcW w:w="5080" w:type="dxa"/>
            <w:tcBorders>
              <w:top w:val="single" w:color="auto" w:sz="4" w:space="0"/>
              <w:left w:val="single" w:color="auto" w:sz="4" w:space="0"/>
              <w:bottom w:val="single" w:color="auto" w:sz="4" w:space="0"/>
              <w:right w:val="single" w:color="auto" w:sz="4" w:space="0"/>
            </w:tcBorders>
          </w:tcPr>
          <w:p w14:paraId="6EA5A990">
            <w:pPr>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根据各投标人</w:t>
            </w:r>
            <w:r>
              <w:rPr>
                <w:rFonts w:asciiTheme="minorEastAsia" w:hAnsiTheme="minorEastAsia" w:eastAsiaTheme="minorEastAsia"/>
                <w:color w:val="auto"/>
                <w:sz w:val="24"/>
                <w:szCs w:val="24"/>
              </w:rPr>
              <w:t>202</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6</w:t>
            </w:r>
            <w:r>
              <w:rPr>
                <w:rFonts w:hint="eastAsia" w:asciiTheme="minorEastAsia" w:hAnsiTheme="minorEastAsia" w:eastAsiaTheme="minorEastAsia"/>
                <w:color w:val="auto"/>
                <w:sz w:val="24"/>
                <w:szCs w:val="24"/>
              </w:rPr>
              <w:t>月</w:t>
            </w:r>
            <w:r>
              <w:rPr>
                <w:rFonts w:asciiTheme="minorEastAsia" w:hAnsiTheme="minorEastAsia" w:eastAsiaTheme="minorEastAsia"/>
                <w:color w:val="auto"/>
                <w:sz w:val="24"/>
                <w:szCs w:val="24"/>
              </w:rPr>
              <w:t>1日以来(以合同签订日期为准)承担过类似项目的，每</w:t>
            </w:r>
            <w:r>
              <w:rPr>
                <w:rFonts w:hint="eastAsia" w:asciiTheme="minorEastAsia" w:hAnsiTheme="minorEastAsia" w:eastAsiaTheme="minorEastAsia"/>
                <w:color w:val="auto"/>
                <w:sz w:val="24"/>
                <w:szCs w:val="24"/>
                <w:lang w:val="en-US" w:eastAsia="zh-CN"/>
              </w:rPr>
              <w:t>提供一份合格的合同</w:t>
            </w:r>
            <w:r>
              <w:rPr>
                <w:rFonts w:asciiTheme="minorEastAsia" w:hAnsiTheme="minorEastAsia" w:eastAsiaTheme="minorEastAsia"/>
                <w:color w:val="auto"/>
                <w:sz w:val="24"/>
                <w:szCs w:val="24"/>
              </w:rPr>
              <w:t>得</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分，</w:t>
            </w:r>
            <w:r>
              <w:rPr>
                <w:rFonts w:hint="eastAsia" w:asciiTheme="minorEastAsia" w:hAnsiTheme="minorEastAsia" w:eastAsiaTheme="minorEastAsia"/>
                <w:color w:val="auto"/>
                <w:sz w:val="24"/>
                <w:szCs w:val="24"/>
                <w:lang w:val="en-US" w:eastAsia="zh-CN"/>
              </w:rPr>
              <w:t>不提供的</w:t>
            </w:r>
            <w:r>
              <w:rPr>
                <w:rFonts w:hint="eastAsia" w:asciiTheme="minorEastAsia" w:hAnsiTheme="minorEastAsia" w:eastAsiaTheme="minorEastAsia"/>
                <w:color w:val="auto"/>
                <w:sz w:val="24"/>
                <w:szCs w:val="24"/>
              </w:rPr>
              <w:t>得</w:t>
            </w:r>
            <w:r>
              <w:rPr>
                <w:rFonts w:asciiTheme="minorEastAsia" w:hAnsiTheme="minorEastAsia" w:eastAsiaTheme="minorEastAsia"/>
                <w:color w:val="auto"/>
                <w:sz w:val="24"/>
                <w:szCs w:val="24"/>
              </w:rPr>
              <w:t>0分。本项最高得分为6分。需提供项目合同关键页(包括但不限于项目名称、合同金额、项目内容、双方盖章、签订日期等)复印件，并加盖投标人单位公章，否则不得分。</w:t>
            </w:r>
          </w:p>
        </w:tc>
      </w:tr>
      <w:tr w14:paraId="5321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4CB801E5">
            <w:pPr>
              <w:spacing w:line="480" w:lineRule="exact"/>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7</w:t>
            </w:r>
          </w:p>
        </w:tc>
        <w:tc>
          <w:tcPr>
            <w:tcW w:w="921" w:type="dxa"/>
            <w:vMerge w:val="continue"/>
            <w:tcBorders>
              <w:left w:val="single" w:color="auto" w:sz="4" w:space="0"/>
              <w:right w:val="single" w:color="auto" w:sz="4" w:space="0"/>
            </w:tcBorders>
            <w:vAlign w:val="center"/>
          </w:tcPr>
          <w:p w14:paraId="1DEE41CE">
            <w:pPr>
              <w:spacing w:line="480" w:lineRule="exact"/>
              <w:jc w:val="center"/>
              <w:rPr>
                <w:rFonts w:hint="eastAsia" w:asciiTheme="minorEastAsia" w:hAnsiTheme="minorEastAsia" w:eastAsiaTheme="minorEastAsia"/>
                <w:color w:val="auto"/>
                <w:sz w:val="24"/>
                <w:szCs w:val="24"/>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40384C57">
            <w:pPr>
              <w:jc w:val="left"/>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rPr>
              <w:t>人员情况与技术力量结构的合理性</w:t>
            </w:r>
            <w:r>
              <w:rPr>
                <w:rFonts w:asciiTheme="minorEastAsia" w:hAnsiTheme="minorEastAsia" w:eastAsiaTheme="minorEastAsia"/>
                <w:color w:val="auto"/>
                <w:sz w:val="24"/>
                <w:szCs w:val="24"/>
              </w:rPr>
              <w:t xml:space="preserve">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4B6FFAF">
            <w:pPr>
              <w:jc w:val="left"/>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lang w:val="en-US" w:eastAsia="zh-CN"/>
              </w:rPr>
              <w:t>15</w:t>
            </w:r>
            <w:r>
              <w:rPr>
                <w:rFonts w:hint="eastAsia" w:asciiTheme="minorEastAsia" w:hAnsiTheme="minorEastAsia" w:eastAsiaTheme="minorEastAsia"/>
                <w:color w:val="auto"/>
                <w:sz w:val="24"/>
                <w:szCs w:val="24"/>
              </w:rPr>
              <w:t>分</w:t>
            </w:r>
          </w:p>
        </w:tc>
        <w:tc>
          <w:tcPr>
            <w:tcW w:w="5080" w:type="dxa"/>
            <w:tcBorders>
              <w:top w:val="single" w:color="auto" w:sz="4" w:space="0"/>
              <w:left w:val="single" w:color="auto" w:sz="4" w:space="0"/>
              <w:bottom w:val="single" w:color="auto" w:sz="4" w:space="0"/>
              <w:right w:val="single" w:color="auto" w:sz="4" w:space="0"/>
            </w:tcBorders>
            <w:shd w:val="clear" w:color="auto" w:fill="auto"/>
            <w:vAlign w:val="top"/>
          </w:tcPr>
          <w:p w14:paraId="4CFFDA9A">
            <w:pPr>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拟投入本项目的项目经理</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名，满足具有</w:t>
            </w:r>
            <w:r>
              <w:rPr>
                <w:rFonts w:asciiTheme="minorEastAsia" w:hAnsiTheme="minorEastAsia" w:eastAsiaTheme="minorEastAsia"/>
                <w:color w:val="auto"/>
                <w:sz w:val="24"/>
                <w:szCs w:val="24"/>
              </w:rPr>
              <w:t>:</w:t>
            </w:r>
          </w:p>
          <w:p w14:paraId="3DF63F94">
            <w:pPr>
              <w:jc w:val="left"/>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1.提供</w:t>
            </w:r>
            <w:r>
              <w:rPr>
                <w:rFonts w:hint="eastAsia" w:asciiTheme="minorEastAsia" w:hAnsiTheme="minorEastAsia" w:eastAsiaTheme="minorEastAsia"/>
                <w:color w:val="auto"/>
                <w:sz w:val="24"/>
                <w:szCs w:val="24"/>
              </w:rPr>
              <w:t>系统集成项目管理</w:t>
            </w:r>
            <w:r>
              <w:rPr>
                <w:rFonts w:hint="eastAsia" w:asciiTheme="minorEastAsia" w:hAnsiTheme="minorEastAsia" w:eastAsiaTheme="minorEastAsia"/>
                <w:color w:val="auto"/>
                <w:sz w:val="24"/>
                <w:szCs w:val="24"/>
                <w:lang w:val="en-US" w:eastAsia="zh-CN"/>
              </w:rPr>
              <w:t>职业资格证书或职称证书</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由中华人民共和国人力资源和社会保障部、工业和信息化部颁发）</w:t>
            </w:r>
            <w:r>
              <w:rPr>
                <w:rFonts w:hint="eastAsia" w:asciiTheme="minorEastAsia" w:hAnsiTheme="minorEastAsia" w:eastAsiaTheme="minorEastAsia"/>
                <w:color w:val="auto"/>
                <w:sz w:val="24"/>
                <w:szCs w:val="24"/>
                <w:lang w:val="en-US" w:eastAsia="zh-CN"/>
              </w:rPr>
              <w:t>得5分，不提供得0分。</w:t>
            </w:r>
          </w:p>
          <w:p w14:paraId="0E4238ED">
            <w:pPr>
              <w:jc w:val="left"/>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2.提供</w:t>
            </w:r>
            <w:r>
              <w:rPr>
                <w:rFonts w:hint="eastAsia" w:asciiTheme="minorEastAsia" w:hAnsiTheme="minorEastAsia" w:eastAsiaTheme="minorEastAsia"/>
                <w:color w:val="auto"/>
                <w:sz w:val="24"/>
                <w:szCs w:val="24"/>
              </w:rPr>
              <w:t>电子</w:t>
            </w:r>
            <w:r>
              <w:rPr>
                <w:rFonts w:hint="eastAsia" w:asciiTheme="minorEastAsia" w:hAnsiTheme="minorEastAsia" w:eastAsiaTheme="minorEastAsia"/>
                <w:color w:val="auto"/>
                <w:sz w:val="24"/>
                <w:szCs w:val="24"/>
                <w:lang w:val="en-US" w:eastAsia="zh-CN"/>
              </w:rPr>
              <w:t>专业方面的职业资格或职业技能或职称证书</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由广东省人力资源和社会保障厅颁发）</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不提供得0分，初级得1分，中级得3分，高级得5分。</w:t>
            </w:r>
          </w:p>
          <w:p w14:paraId="75413014">
            <w:pPr>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rPr>
              <w:t>电气</w:t>
            </w:r>
            <w:r>
              <w:rPr>
                <w:rFonts w:hint="eastAsia" w:asciiTheme="minorEastAsia" w:hAnsiTheme="minorEastAsia" w:eastAsiaTheme="minorEastAsia"/>
                <w:color w:val="auto"/>
                <w:sz w:val="24"/>
                <w:szCs w:val="24"/>
                <w:lang w:val="en-US" w:eastAsia="zh-CN"/>
              </w:rPr>
              <w:t>及电工方面的职业资格或职业技能或职称证书</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由中华人民共和国工业和信息化部颁发）</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不提供得0分，初级得1分，中级得3分，高级得5分。</w:t>
            </w:r>
          </w:p>
          <w:p w14:paraId="3C45C106">
            <w:pPr>
              <w:jc w:val="left"/>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lang w:val="en-US" w:eastAsia="zh-CN"/>
              </w:rPr>
              <w:t>注：</w:t>
            </w:r>
            <w:r>
              <w:rPr>
                <w:rFonts w:hint="eastAsia" w:asciiTheme="minorEastAsia" w:hAnsiTheme="minorEastAsia" w:eastAsiaTheme="minorEastAsia"/>
                <w:color w:val="auto"/>
                <w:sz w:val="24"/>
                <w:szCs w:val="24"/>
              </w:rPr>
              <w:t>本项目的项目经理需提供证书及人员在本单位工作近</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个月社保缴费证明复印件加盖供</w:t>
            </w:r>
            <w:r>
              <w:rPr>
                <w:rFonts w:asciiTheme="minorEastAsia" w:hAnsiTheme="minorEastAsia" w:eastAsiaTheme="minorEastAsia"/>
                <w:color w:val="auto"/>
                <w:sz w:val="24"/>
                <w:szCs w:val="24"/>
              </w:rPr>
              <w:t>投标人</w:t>
            </w:r>
            <w:r>
              <w:rPr>
                <w:rFonts w:hint="eastAsia" w:asciiTheme="minorEastAsia" w:hAnsiTheme="minorEastAsia" w:eastAsiaTheme="minorEastAsia"/>
                <w:color w:val="auto"/>
                <w:sz w:val="24"/>
                <w:szCs w:val="24"/>
                <w:lang w:val="en-US" w:eastAsia="zh-CN"/>
              </w:rPr>
              <w:t>单位</w:t>
            </w:r>
            <w:r>
              <w:rPr>
                <w:rFonts w:hint="eastAsia" w:asciiTheme="minorEastAsia" w:hAnsiTheme="minorEastAsia" w:eastAsiaTheme="minorEastAsia"/>
                <w:color w:val="auto"/>
                <w:sz w:val="24"/>
                <w:szCs w:val="24"/>
              </w:rPr>
              <w:t>公章，否则不得分）。</w:t>
            </w:r>
          </w:p>
        </w:tc>
      </w:tr>
    </w:tbl>
    <w:p w14:paraId="7B9BA362">
      <w:pPr>
        <w:pStyle w:val="13"/>
        <w:rPr>
          <w:rFonts w:cs="宋体" w:asciiTheme="minorEastAsia" w:hAnsiTheme="minorEastAsia" w:eastAsiaTheme="minorEastAsia"/>
          <w:color w:val="auto"/>
          <w:sz w:val="36"/>
          <w:szCs w:val="36"/>
        </w:rPr>
      </w:pPr>
    </w:p>
    <w:p w14:paraId="4E7F8CAA">
      <w:pPr>
        <w:rPr>
          <w:rFonts w:cs="宋体" w:asciiTheme="minorEastAsia" w:hAnsiTheme="minorEastAsia" w:eastAsiaTheme="minorEastAsia"/>
          <w:color w:val="auto"/>
          <w:sz w:val="36"/>
          <w:szCs w:val="36"/>
        </w:rPr>
      </w:pPr>
    </w:p>
    <w:p w14:paraId="1A62703F">
      <w:pPr>
        <w:rPr>
          <w:rFonts w:cs="宋体" w:asciiTheme="minorEastAsia" w:hAnsiTheme="minorEastAsia" w:eastAsiaTheme="minorEastAsia"/>
          <w:color w:val="auto"/>
          <w:sz w:val="36"/>
          <w:szCs w:val="36"/>
        </w:rPr>
      </w:pPr>
    </w:p>
    <w:p w14:paraId="0BE3A2DF">
      <w:pPr>
        <w:pStyle w:val="13"/>
        <w:rPr>
          <w:rFonts w:cs="宋体" w:asciiTheme="minorEastAsia" w:hAnsiTheme="minorEastAsia" w:eastAsiaTheme="minorEastAsia"/>
          <w:color w:val="auto"/>
          <w:sz w:val="36"/>
          <w:szCs w:val="36"/>
        </w:rPr>
      </w:pPr>
      <w:r>
        <w:rPr>
          <w:rFonts w:hint="eastAsia" w:cs="宋体" w:asciiTheme="minorEastAsia" w:hAnsiTheme="minorEastAsia" w:eastAsiaTheme="minorEastAsia"/>
          <w:color w:val="auto"/>
          <w:sz w:val="36"/>
          <w:szCs w:val="36"/>
        </w:rPr>
        <w:t>第三章 响应文件资料组成及相关要求</w:t>
      </w:r>
    </w:p>
    <w:p w14:paraId="7BBBFB19">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1.封面（注明参与投标项目名称、单位、联系人、联系电话、正本或副本等信息）加盖公章，贴在密封袋面和投标文件封面（详见附件1）</w:t>
      </w:r>
    </w:p>
    <w:p w14:paraId="359CE2B4">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2.投标资质证明文件</w:t>
      </w:r>
    </w:p>
    <w:p w14:paraId="35C991AE">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①投标人资格声明函（详见附件2）</w:t>
      </w:r>
    </w:p>
    <w:p w14:paraId="52D90B12">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②无重大违法记录声明函（详见附件3）</w:t>
      </w:r>
    </w:p>
    <w:p w14:paraId="3DFCFFDB">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③有效的营业执照（或事业法人登记证或身份证等相关证明）复印件</w:t>
      </w:r>
    </w:p>
    <w:p w14:paraId="3FFA45C8">
      <w:pPr>
        <w:widowControl/>
        <w:spacing w:line="360" w:lineRule="auto"/>
        <w:ind w:firstLine="470" w:firstLineChars="196"/>
        <w:jc w:val="left"/>
        <w:rPr>
          <w:rFonts w:hint="eastAsia"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④法定代表人（或经营者）身份证复印件</w:t>
      </w:r>
    </w:p>
    <w:p w14:paraId="7966E4B3">
      <w:pPr>
        <w:widowControl/>
        <w:numPr>
          <w:ilvl w:val="0"/>
          <w:numId w:val="3"/>
        </w:numPr>
        <w:spacing w:line="360" w:lineRule="auto"/>
        <w:ind w:firstLine="470" w:firstLineChars="196"/>
        <w:jc w:val="left"/>
        <w:rPr>
          <w:rFonts w:hint="eastAsia"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项目报价表</w:t>
      </w:r>
    </w:p>
    <w:p w14:paraId="1A66CF02">
      <w:pPr>
        <w:widowControl/>
        <w:numPr>
          <w:ilvl w:val="0"/>
          <w:numId w:val="3"/>
        </w:numPr>
        <w:spacing w:line="360" w:lineRule="auto"/>
        <w:ind w:firstLine="470" w:firstLineChars="196"/>
        <w:jc w:val="left"/>
        <w:rPr>
          <w:rFonts w:hint="eastAsia"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偏离表</w:t>
      </w:r>
      <w:r>
        <w:rPr>
          <w:rFonts w:hint="eastAsia" w:cs="宋体" w:asciiTheme="minorEastAsia" w:hAnsiTheme="minorEastAsia" w:eastAsiaTheme="minorEastAsia"/>
          <w:bCs/>
          <w:color w:val="auto"/>
          <w:kern w:val="0"/>
          <w:sz w:val="24"/>
          <w:szCs w:val="24"/>
          <w:lang w:eastAsia="zh-CN"/>
        </w:rPr>
        <w:t>（</w:t>
      </w:r>
      <w:r>
        <w:rPr>
          <w:rFonts w:hint="eastAsia" w:cs="宋体" w:asciiTheme="minorEastAsia" w:hAnsiTheme="minorEastAsia" w:eastAsiaTheme="minorEastAsia"/>
          <w:bCs/>
          <w:color w:val="auto"/>
          <w:kern w:val="0"/>
          <w:sz w:val="24"/>
          <w:szCs w:val="24"/>
          <w:lang w:val="en-US" w:eastAsia="zh-CN"/>
        </w:rPr>
        <w:t>详见附件4</w:t>
      </w:r>
      <w:r>
        <w:rPr>
          <w:rFonts w:hint="eastAsia" w:cs="宋体" w:asciiTheme="minorEastAsia" w:hAnsiTheme="minorEastAsia" w:eastAsiaTheme="minorEastAsia"/>
          <w:bCs/>
          <w:color w:val="auto"/>
          <w:kern w:val="0"/>
          <w:sz w:val="24"/>
          <w:szCs w:val="24"/>
          <w:lang w:eastAsia="zh-CN"/>
        </w:rPr>
        <w:t>）</w:t>
      </w:r>
    </w:p>
    <w:p w14:paraId="0419B601">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lang w:val="en-US" w:eastAsia="zh-CN"/>
        </w:rPr>
        <w:t>5</w:t>
      </w:r>
      <w:r>
        <w:rPr>
          <w:rFonts w:hint="eastAsia" w:cs="宋体" w:asciiTheme="minorEastAsia" w:hAnsiTheme="minorEastAsia" w:eastAsiaTheme="minorEastAsia"/>
          <w:bCs/>
          <w:color w:val="auto"/>
          <w:kern w:val="0"/>
          <w:sz w:val="24"/>
          <w:szCs w:val="24"/>
        </w:rPr>
        <w:t>.</w:t>
      </w:r>
      <w:r>
        <w:rPr>
          <w:rFonts w:hint="eastAsia" w:cs="宋体" w:asciiTheme="minorEastAsia" w:hAnsiTheme="minorEastAsia" w:eastAsiaTheme="minorEastAsia"/>
          <w:bCs/>
          <w:color w:val="auto"/>
          <w:kern w:val="0"/>
          <w:sz w:val="24"/>
          <w:szCs w:val="24"/>
          <w:lang w:val="en-US" w:eastAsia="zh-CN"/>
        </w:rPr>
        <w:t>相关证明材料及</w:t>
      </w:r>
      <w:r>
        <w:rPr>
          <w:rFonts w:hint="eastAsia" w:cs="宋体" w:asciiTheme="minorEastAsia" w:hAnsiTheme="minorEastAsia" w:eastAsiaTheme="minorEastAsia"/>
          <w:bCs/>
          <w:color w:val="auto"/>
          <w:kern w:val="0"/>
          <w:sz w:val="24"/>
          <w:szCs w:val="24"/>
        </w:rPr>
        <w:t>检验报告</w:t>
      </w:r>
    </w:p>
    <w:p w14:paraId="2F9FE1D0">
      <w:pPr>
        <w:pStyle w:val="6"/>
        <w:ind w:left="0" w:leftChars="0" w:firstLine="480" w:firstLineChars="200"/>
        <w:rPr>
          <w:rFonts w:eastAsiaTheme="minorEastAsia"/>
          <w:color w:val="auto"/>
        </w:rPr>
      </w:pPr>
      <w:r>
        <w:rPr>
          <w:rFonts w:hint="eastAsia" w:cs="宋体" w:asciiTheme="minorEastAsia" w:hAnsiTheme="minorEastAsia" w:eastAsiaTheme="minorEastAsia"/>
          <w:bCs/>
          <w:color w:val="auto"/>
          <w:kern w:val="0"/>
          <w:sz w:val="24"/>
          <w:szCs w:val="24"/>
          <w:lang w:val="en-US" w:eastAsia="zh-CN"/>
        </w:rPr>
        <w:t>6</w:t>
      </w:r>
      <w:r>
        <w:rPr>
          <w:rFonts w:hint="eastAsia" w:cs="宋体" w:asciiTheme="minorEastAsia" w:hAnsiTheme="minorEastAsia" w:eastAsiaTheme="minorEastAsia"/>
          <w:bCs/>
          <w:color w:val="auto"/>
          <w:kern w:val="0"/>
          <w:sz w:val="24"/>
          <w:szCs w:val="24"/>
        </w:rPr>
        <w:t>.设计方案</w:t>
      </w:r>
    </w:p>
    <w:p w14:paraId="3A0CF9FA">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lang w:val="en-US" w:eastAsia="zh-CN"/>
        </w:rPr>
        <w:t>7</w:t>
      </w:r>
      <w:r>
        <w:rPr>
          <w:rFonts w:hint="eastAsia" w:cs="宋体" w:asciiTheme="minorEastAsia" w:hAnsiTheme="minorEastAsia" w:eastAsiaTheme="minorEastAsia"/>
          <w:bCs/>
          <w:color w:val="auto"/>
          <w:kern w:val="0"/>
          <w:sz w:val="24"/>
          <w:szCs w:val="24"/>
        </w:rPr>
        <w:t>.经营业绩</w:t>
      </w:r>
    </w:p>
    <w:p w14:paraId="60390CF3">
      <w:pPr>
        <w:widowControl/>
        <w:spacing w:line="360" w:lineRule="auto"/>
        <w:ind w:firstLine="470" w:firstLineChars="196"/>
        <w:jc w:val="left"/>
        <w:rPr>
          <w:rFonts w:hint="eastAsia"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lang w:val="en-US" w:eastAsia="zh-CN"/>
        </w:rPr>
        <w:t>8</w:t>
      </w:r>
      <w:r>
        <w:rPr>
          <w:rFonts w:hint="eastAsia" w:cs="宋体" w:asciiTheme="minorEastAsia" w:hAnsiTheme="minorEastAsia" w:eastAsiaTheme="minorEastAsia"/>
          <w:bCs/>
          <w:color w:val="auto"/>
          <w:kern w:val="0"/>
          <w:sz w:val="24"/>
          <w:szCs w:val="24"/>
        </w:rPr>
        <w:t>.</w:t>
      </w:r>
      <w:r>
        <w:rPr>
          <w:rFonts w:hint="eastAsia" w:asciiTheme="minorEastAsia" w:hAnsiTheme="minorEastAsia" w:eastAsiaTheme="minorEastAsia"/>
          <w:color w:val="auto"/>
          <w:sz w:val="24"/>
          <w:szCs w:val="24"/>
          <w:lang w:val="en-US" w:eastAsia="zh-CN"/>
        </w:rPr>
        <w:t>项目实施</w:t>
      </w:r>
      <w:r>
        <w:rPr>
          <w:rFonts w:hint="eastAsia" w:asciiTheme="minorEastAsia" w:hAnsiTheme="minorEastAsia" w:eastAsiaTheme="minorEastAsia"/>
          <w:color w:val="auto"/>
          <w:sz w:val="24"/>
          <w:szCs w:val="24"/>
        </w:rPr>
        <w:t>方案</w:t>
      </w:r>
    </w:p>
    <w:p w14:paraId="750D7B31">
      <w:pPr>
        <w:widowControl/>
        <w:spacing w:line="360" w:lineRule="auto"/>
        <w:ind w:firstLine="470" w:firstLineChars="196"/>
        <w:jc w:val="left"/>
        <w:rPr>
          <w:rFonts w:hint="eastAsia" w:cs="宋体" w:asciiTheme="minorEastAsia" w:hAnsiTheme="minorEastAsia" w:eastAsiaTheme="minorEastAsia"/>
          <w:bCs/>
          <w:color w:val="auto"/>
          <w:kern w:val="0"/>
          <w:sz w:val="24"/>
          <w:szCs w:val="24"/>
        </w:rPr>
      </w:pP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承诺函</w:t>
      </w:r>
    </w:p>
    <w:p w14:paraId="37C9F9C8">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所有响应文件材料加盖公章，一式三份分别密封（一正两副），响应文件的正本和副本应在封面显著位置清楚标明“正本”或“副本”字样。如正本和副本内容不一致以正本书面文件为准。A4纸规格，加盖公章，顺序装订。密封袋须用封条密封加盖公章。</w:t>
      </w:r>
    </w:p>
    <w:p w14:paraId="1476EC7D">
      <w:pPr>
        <w:widowControl/>
        <w:spacing w:line="360" w:lineRule="auto"/>
        <w:ind w:firstLine="470" w:firstLineChars="196"/>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注：投标人可根据项目需求内容添加响应文件资料。</w:t>
      </w:r>
    </w:p>
    <w:p w14:paraId="2EDF8A2C">
      <w:pPr>
        <w:widowControl/>
        <w:spacing w:line="360" w:lineRule="auto"/>
        <w:ind w:firstLine="470" w:firstLineChars="196"/>
        <w:jc w:val="left"/>
        <w:rPr>
          <w:rFonts w:cs="宋体" w:asciiTheme="minorEastAsia" w:hAnsiTheme="minorEastAsia" w:eastAsiaTheme="minorEastAsia"/>
          <w:bCs/>
          <w:color w:val="auto"/>
          <w:kern w:val="0"/>
          <w:sz w:val="24"/>
          <w:szCs w:val="24"/>
        </w:rPr>
      </w:pPr>
    </w:p>
    <w:p w14:paraId="1B54342B">
      <w:pPr>
        <w:rPr>
          <w:color w:val="auto"/>
        </w:rPr>
      </w:pPr>
    </w:p>
    <w:p w14:paraId="7CF3A89B">
      <w:pPr>
        <w:pStyle w:val="13"/>
        <w:jc w:val="both"/>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br w:type="page"/>
      </w:r>
    </w:p>
    <w:p w14:paraId="0F5C1CB7">
      <w:pPr>
        <w:pStyle w:val="13"/>
        <w:jc w:val="both"/>
        <w:rPr>
          <w:rFonts w:hint="eastAsia" w:cs="宋体" w:asciiTheme="minorEastAsia" w:hAnsiTheme="minorEastAsia" w:eastAsiaTheme="minorEastAsia"/>
          <w:b w:val="0"/>
          <w:color w:val="auto"/>
          <w:sz w:val="24"/>
          <w:szCs w:val="24"/>
        </w:rPr>
      </w:pPr>
      <w:r>
        <w:rPr>
          <w:rFonts w:hint="eastAsia" w:cs="宋体" w:asciiTheme="minorEastAsia" w:hAnsiTheme="minorEastAsia" w:eastAsiaTheme="minorEastAsia"/>
          <w:b w:val="0"/>
          <w:color w:val="auto"/>
          <w:sz w:val="24"/>
          <w:szCs w:val="24"/>
        </w:rPr>
        <w:t>附件1：</w:t>
      </w:r>
    </w:p>
    <w:p w14:paraId="1939B6E0">
      <w:pPr>
        <w:pStyle w:val="13"/>
        <w:jc w:val="both"/>
        <w:rPr>
          <w:rFonts w:asciiTheme="minorEastAsia" w:hAnsiTheme="minorEastAsia" w:eastAsiaTheme="minorEastAsia"/>
          <w:color w:val="auto"/>
          <w:sz w:val="44"/>
          <w:szCs w:val="44"/>
        </w:rPr>
      </w:pPr>
      <w:r>
        <w:rPr>
          <w:rFonts w:hint="eastAsia" w:asciiTheme="minorEastAsia" w:hAnsiTheme="minorEastAsia" w:eastAsiaTheme="minorEastAsia"/>
          <w:color w:val="auto"/>
        </w:rPr>
        <w:t>封面：</w:t>
      </w:r>
    </w:p>
    <w:p w14:paraId="7DF473A6">
      <w:pPr>
        <w:spacing w:line="240" w:lineRule="atLeast"/>
        <w:jc w:val="center"/>
        <w:rPr>
          <w:rFonts w:cs="Helvetica" w:asciiTheme="minorEastAsia" w:hAnsiTheme="minorEastAsia" w:eastAsiaTheme="minorEastAsia"/>
          <w:b/>
          <w:color w:val="auto"/>
          <w:kern w:val="0"/>
          <w:sz w:val="52"/>
          <w:szCs w:val="52"/>
          <w:u w:val="single"/>
        </w:rPr>
      </w:pPr>
      <w:r>
        <w:rPr>
          <w:rFonts w:hint="eastAsia" w:cs="Helvetica" w:asciiTheme="minorEastAsia" w:hAnsiTheme="minorEastAsia" w:eastAsiaTheme="minorEastAsia"/>
          <w:b/>
          <w:color w:val="auto"/>
          <w:kern w:val="0"/>
          <w:sz w:val="36"/>
          <w:szCs w:val="36"/>
          <w:u w:val="single"/>
        </w:rPr>
        <w:t>江门市技师学院潮连校区运动场语音广播项目</w:t>
      </w:r>
    </w:p>
    <w:p w14:paraId="3202F352">
      <w:pPr>
        <w:spacing w:line="240" w:lineRule="atLeast"/>
        <w:jc w:val="center"/>
        <w:rPr>
          <w:rFonts w:hint="default" w:asciiTheme="minorEastAsia" w:hAnsiTheme="minorEastAsia" w:eastAsiaTheme="minorEastAsia"/>
          <w:b/>
          <w:color w:val="FF0000"/>
          <w:sz w:val="28"/>
          <w:szCs w:val="28"/>
          <w:lang w:val="en-US" w:eastAsia="zh-CN"/>
        </w:rPr>
      </w:pPr>
      <w:r>
        <w:rPr>
          <w:rFonts w:hint="eastAsia" w:asciiTheme="minorEastAsia" w:hAnsiTheme="minorEastAsia" w:eastAsiaTheme="minorEastAsia"/>
          <w:b/>
          <w:color w:val="auto"/>
          <w:sz w:val="28"/>
          <w:szCs w:val="28"/>
        </w:rPr>
        <w:t>项目编号：zwb-</w:t>
      </w:r>
      <w:r>
        <w:rPr>
          <w:rFonts w:hint="eastAsia" w:asciiTheme="minorEastAsia" w:hAnsiTheme="minorEastAsia" w:eastAsiaTheme="minorEastAsia"/>
          <w:b/>
          <w:color w:val="auto"/>
          <w:sz w:val="28"/>
          <w:szCs w:val="28"/>
          <w:lang w:val="en-US" w:eastAsia="zh-CN"/>
        </w:rPr>
        <w:t>cgzx</w:t>
      </w:r>
      <w:r>
        <w:rPr>
          <w:rFonts w:hint="eastAsia" w:asciiTheme="minorEastAsia" w:hAnsiTheme="minorEastAsia" w:eastAsiaTheme="minorEastAsia"/>
          <w:b/>
          <w:color w:val="auto"/>
          <w:sz w:val="28"/>
          <w:szCs w:val="28"/>
        </w:rPr>
        <w:t>-202</w:t>
      </w:r>
      <w:r>
        <w:rPr>
          <w:rFonts w:hint="eastAsia" w:asciiTheme="minorEastAsia" w:hAnsiTheme="minorEastAsia" w:eastAsiaTheme="minorEastAsia"/>
          <w:b/>
          <w:color w:val="auto"/>
          <w:sz w:val="28"/>
          <w:szCs w:val="28"/>
          <w:lang w:val="en-US" w:eastAsia="zh-CN"/>
        </w:rPr>
        <w:t>5</w:t>
      </w:r>
      <w:r>
        <w:rPr>
          <w:rFonts w:hint="eastAsia" w:asciiTheme="minorEastAsia" w:hAnsiTheme="minorEastAsia" w:eastAsiaTheme="minorEastAsia"/>
          <w:b/>
          <w:color w:val="auto"/>
          <w:sz w:val="28"/>
          <w:szCs w:val="28"/>
        </w:rPr>
        <w:t>-</w:t>
      </w:r>
      <w:r>
        <w:rPr>
          <w:rFonts w:hint="eastAsia" w:asciiTheme="minorEastAsia" w:hAnsiTheme="minorEastAsia" w:eastAsiaTheme="minorEastAsia"/>
          <w:b/>
          <w:color w:val="auto"/>
          <w:sz w:val="28"/>
          <w:szCs w:val="28"/>
          <w:lang w:val="en-US" w:eastAsia="zh-CN"/>
        </w:rPr>
        <w:t>28</w:t>
      </w:r>
    </w:p>
    <w:p w14:paraId="6F41308E">
      <w:pPr>
        <w:spacing w:line="240" w:lineRule="atLeast"/>
        <w:jc w:val="center"/>
        <w:rPr>
          <w:rFonts w:asciiTheme="minorEastAsia" w:hAnsiTheme="minorEastAsia" w:eastAsiaTheme="minorEastAsia"/>
          <w:b/>
          <w:color w:val="auto"/>
          <w:sz w:val="44"/>
          <w:szCs w:val="44"/>
        </w:rPr>
      </w:pPr>
    </w:p>
    <w:p w14:paraId="0574AC3E">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响</w:t>
      </w:r>
    </w:p>
    <w:p w14:paraId="0C70213A">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应</w:t>
      </w:r>
    </w:p>
    <w:p w14:paraId="070A6751">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文</w:t>
      </w:r>
    </w:p>
    <w:p w14:paraId="3D2C1EA7">
      <w:pPr>
        <w:spacing w:line="240" w:lineRule="atLeast"/>
        <w:jc w:val="center"/>
        <w:rPr>
          <w:rFonts w:asciiTheme="minorEastAsia" w:hAnsiTheme="minorEastAsia" w:eastAsiaTheme="minorEastAsia"/>
          <w:color w:val="auto"/>
          <w:sz w:val="72"/>
          <w:szCs w:val="72"/>
        </w:rPr>
      </w:pPr>
      <w:r>
        <w:rPr>
          <w:rFonts w:hint="eastAsia" w:asciiTheme="minorEastAsia" w:hAnsiTheme="minorEastAsia" w:eastAsiaTheme="minorEastAsia"/>
          <w:b/>
          <w:bCs/>
          <w:color w:val="auto"/>
          <w:sz w:val="72"/>
          <w:szCs w:val="72"/>
        </w:rPr>
        <w:t>件</w:t>
      </w:r>
    </w:p>
    <w:p w14:paraId="3BC7E737">
      <w:pPr>
        <w:spacing w:line="240" w:lineRule="atLeast"/>
        <w:ind w:firstLine="320" w:firstLineChars="10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（正本/副本）</w:t>
      </w:r>
    </w:p>
    <w:p w14:paraId="156B5FB7">
      <w:pPr>
        <w:spacing w:line="360" w:lineRule="auto"/>
        <w:rPr>
          <w:rFonts w:asciiTheme="minorEastAsia" w:hAnsiTheme="minorEastAsia" w:eastAsiaTheme="minorEastAsia"/>
          <w:color w:val="auto"/>
          <w:sz w:val="28"/>
          <w:szCs w:val="28"/>
        </w:rPr>
      </w:pPr>
    </w:p>
    <w:p w14:paraId="00606FB6">
      <w:pPr>
        <w:spacing w:line="360" w:lineRule="auto"/>
        <w:ind w:firstLine="1260" w:firstLineChars="450"/>
        <w:jc w:val="left"/>
        <w:rPr>
          <w:rFonts w:asciiTheme="minorEastAsia" w:hAnsiTheme="minorEastAsia" w:eastAsiaTheme="minorEastAsia"/>
          <w:color w:val="auto"/>
          <w:sz w:val="28"/>
        </w:rPr>
      </w:pPr>
      <w:r>
        <w:rPr>
          <w:rFonts w:hint="eastAsia" w:asciiTheme="minorEastAsia" w:hAnsiTheme="minorEastAsia" w:eastAsiaTheme="minorEastAsia"/>
          <w:color w:val="auto"/>
          <w:sz w:val="28"/>
        </w:rPr>
        <w:t>投标人（盖章）：</w:t>
      </w:r>
    </w:p>
    <w:p w14:paraId="74AC05C1">
      <w:pPr>
        <w:spacing w:line="360" w:lineRule="auto"/>
        <w:ind w:firstLine="1260" w:firstLineChars="450"/>
        <w:jc w:val="left"/>
        <w:rPr>
          <w:rFonts w:asciiTheme="minorEastAsia" w:hAnsiTheme="minorEastAsia" w:eastAsiaTheme="minorEastAsia"/>
          <w:color w:val="auto"/>
          <w:sz w:val="28"/>
        </w:rPr>
      </w:pPr>
      <w:r>
        <w:rPr>
          <w:rFonts w:hint="eastAsia" w:asciiTheme="minorEastAsia" w:hAnsiTheme="minorEastAsia" w:eastAsiaTheme="minorEastAsia"/>
          <w:color w:val="auto"/>
          <w:sz w:val="28"/>
        </w:rPr>
        <w:t>法定代表人（或经营者）或委托代理人（签字）：</w:t>
      </w:r>
    </w:p>
    <w:p w14:paraId="13E8C0C9">
      <w:pPr>
        <w:spacing w:line="360" w:lineRule="auto"/>
        <w:ind w:right="-732" w:rightChars="-244" w:firstLine="1260" w:firstLineChars="450"/>
        <w:jc w:val="left"/>
        <w:rPr>
          <w:rFonts w:asciiTheme="minorEastAsia" w:hAnsiTheme="minorEastAsia" w:eastAsiaTheme="minorEastAsia"/>
          <w:color w:val="auto"/>
          <w:sz w:val="28"/>
        </w:rPr>
      </w:pPr>
      <w:r>
        <w:rPr>
          <w:rFonts w:hint="eastAsia" w:asciiTheme="minorEastAsia" w:hAnsiTheme="minorEastAsia" w:eastAsiaTheme="minorEastAsia"/>
          <w:color w:val="auto"/>
          <w:sz w:val="28"/>
        </w:rPr>
        <w:t>日期：年月日</w:t>
      </w:r>
      <w:r>
        <w:rPr>
          <w:rFonts w:asciiTheme="minorEastAsia" w:hAnsiTheme="minorEastAsia" w:eastAsiaTheme="minorEastAsia"/>
          <w:color w:val="auto"/>
          <w:sz w:val="28"/>
        </w:rPr>
        <w:br w:type="page"/>
      </w:r>
    </w:p>
    <w:p w14:paraId="05AFB1C6">
      <w:pPr>
        <w:spacing w:line="240" w:lineRule="atLeast"/>
        <w:ind w:right="-732" w:rightChars="-244"/>
        <w:rPr>
          <w:rFonts w:asciiTheme="minorEastAsia" w:hAnsiTheme="minorEastAsia" w:eastAsiaTheme="minorEastAsia"/>
          <w:color w:val="auto"/>
          <w:sz w:val="28"/>
        </w:rPr>
      </w:pPr>
      <w:r>
        <w:rPr>
          <w:rFonts w:hint="eastAsia" w:asciiTheme="minorEastAsia" w:hAnsiTheme="minorEastAsia" w:eastAsiaTheme="minorEastAsia"/>
          <w:color w:val="auto"/>
          <w:sz w:val="28"/>
        </w:rPr>
        <w:t>封面粘贴要求：按统一格式，完善相关资料后打印贴于档案袋正面</w:t>
      </w:r>
    </w:p>
    <w:p w14:paraId="1B09B570">
      <w:pPr>
        <w:spacing w:line="240" w:lineRule="atLeast"/>
        <w:ind w:right="-732" w:rightChars="-244"/>
        <w:rPr>
          <w:rFonts w:asciiTheme="minorEastAsia" w:hAnsiTheme="minorEastAsia" w:eastAsiaTheme="minorEastAsia"/>
          <w:color w:val="auto"/>
          <w:sz w:val="28"/>
        </w:rPr>
      </w:pPr>
      <w:r>
        <w:rPr>
          <w:rFonts w:hint="eastAsia" w:asciiTheme="minorEastAsia" w:hAnsiTheme="minorEastAsia" w:eastAsiaTheme="minorEastAsia"/>
          <w:color w:val="auto"/>
          <w:sz w:val="28"/>
        </w:rPr>
        <w:t>注意：请选择正本或副本，并加盖单位公章。</w:t>
      </w:r>
    </w:p>
    <w:p w14:paraId="79ABF9DC">
      <w:pPr>
        <w:spacing w:line="240" w:lineRule="atLeast"/>
        <w:ind w:right="-732" w:rightChars="-244"/>
        <w:rPr>
          <w:rFonts w:asciiTheme="minorEastAsia" w:hAnsiTheme="minorEastAsia" w:eastAsiaTheme="minorEastAsia"/>
          <w:color w:val="auto"/>
          <w:sz w:val="28"/>
        </w:rPr>
      </w:pPr>
      <w:r>
        <w:rPr>
          <w:rFonts w:hint="eastAsia" w:asciiTheme="minorEastAsia" w:hAnsiTheme="minorEastAsia" w:eastAsiaTheme="minorEastAsia"/>
          <w:color w:val="auto"/>
          <w:sz w:val="28"/>
        </w:rPr>
        <w:drawing>
          <wp:inline distT="0" distB="0" distL="0" distR="0">
            <wp:extent cx="5773420" cy="7693025"/>
            <wp:effectExtent l="0" t="0" r="2540" b="3175"/>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5773420" cy="7693025"/>
                    </a:xfrm>
                    <a:prstGeom prst="rect">
                      <a:avLst/>
                    </a:prstGeom>
                    <a:noFill/>
                    <a:ln w="9525">
                      <a:noFill/>
                      <a:miter lim="800000"/>
                      <a:headEnd/>
                      <a:tailEnd/>
                    </a:ln>
                  </pic:spPr>
                </pic:pic>
              </a:graphicData>
            </a:graphic>
          </wp:inline>
        </w:drawing>
      </w:r>
    </w:p>
    <w:p w14:paraId="40D69857">
      <w:pPr>
        <w:widowControl/>
        <w:jc w:val="lef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br w:type="page"/>
      </w:r>
    </w:p>
    <w:p w14:paraId="589B3F57">
      <w:pPr>
        <w:spacing w:line="240" w:lineRule="atLeast"/>
        <w:ind w:right="-732" w:rightChars="-244"/>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封条粘贴要求：密封条须贴在档案袋封口处，盖骑缝公章。</w:t>
      </w:r>
    </w:p>
    <w:p w14:paraId="1E563653">
      <w:pPr>
        <w:spacing w:line="240" w:lineRule="atLeast"/>
        <w:ind w:right="-732" w:rightChars="-244"/>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注意：下图仅供参考，密封条粘贴及盖章位置按需处理。</w:t>
      </w:r>
    </w:p>
    <w:p w14:paraId="522AC703">
      <w:pPr>
        <w:spacing w:line="240" w:lineRule="atLeast"/>
        <w:ind w:right="-732" w:rightChars="-244"/>
        <w:rPr>
          <w:rFonts w:asciiTheme="minorEastAsia" w:hAnsiTheme="minorEastAsia" w:eastAsiaTheme="minorEastAsia"/>
          <w:b/>
          <w:color w:val="auto"/>
          <w:sz w:val="36"/>
          <w:szCs w:val="36"/>
        </w:rPr>
      </w:pPr>
      <w:r>
        <w:rPr>
          <w:rFonts w:asciiTheme="minorEastAsia" w:hAnsiTheme="minorEastAsia" w:eastAsiaTheme="minorEastAsia"/>
          <w:color w:val="auto"/>
          <w:sz w:val="28"/>
          <w:szCs w:val="28"/>
        </w:rPr>
        <w:drawing>
          <wp:inline distT="0" distB="0" distL="0" distR="0">
            <wp:extent cx="5567045" cy="7596505"/>
            <wp:effectExtent l="0" t="0" r="10795" b="8255"/>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5567045" cy="7596505"/>
                    </a:xfrm>
                    <a:prstGeom prst="rect">
                      <a:avLst/>
                    </a:prstGeom>
                    <a:noFill/>
                    <a:ln w="9525">
                      <a:noFill/>
                      <a:miter lim="800000"/>
                      <a:headEnd/>
                      <a:tailEnd/>
                    </a:ln>
                  </pic:spPr>
                </pic:pic>
              </a:graphicData>
            </a:graphic>
          </wp:inline>
        </w:drawing>
      </w:r>
      <w:r>
        <w:rPr>
          <w:rFonts w:asciiTheme="minorEastAsia" w:hAnsiTheme="minorEastAsia" w:eastAsiaTheme="minorEastAsia"/>
          <w:b/>
          <w:color w:val="auto"/>
          <w:sz w:val="36"/>
          <w:szCs w:val="36"/>
        </w:rPr>
        <w:br w:type="page"/>
      </w:r>
    </w:p>
    <w:p w14:paraId="535500EE">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附件2：</w:t>
      </w:r>
    </w:p>
    <w:p w14:paraId="37B793E6">
      <w:pPr>
        <w:widowControl/>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投标人资格声明函</w:t>
      </w:r>
    </w:p>
    <w:p w14:paraId="63335666">
      <w:pPr>
        <w:widowControl/>
        <w:jc w:val="left"/>
        <w:rPr>
          <w:rFonts w:asciiTheme="minorEastAsia" w:hAnsiTheme="minorEastAsia" w:eastAsiaTheme="minorEastAsia"/>
          <w:b/>
          <w:color w:val="auto"/>
          <w:sz w:val="28"/>
          <w:szCs w:val="28"/>
        </w:rPr>
      </w:pPr>
    </w:p>
    <w:p w14:paraId="0BCC6290">
      <w:pPr>
        <w:spacing w:line="360" w:lineRule="auto"/>
        <w:rPr>
          <w:rFonts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rPr>
        <w:t>致：</w:t>
      </w:r>
      <w:r>
        <w:rPr>
          <w:rFonts w:hint="eastAsia" w:asciiTheme="minorEastAsia" w:hAnsiTheme="minorEastAsia" w:eastAsiaTheme="minorEastAsia"/>
          <w:color w:val="auto"/>
          <w:sz w:val="28"/>
          <w:szCs w:val="28"/>
          <w:u w:val="single"/>
        </w:rPr>
        <w:t>江门市技师学院</w:t>
      </w:r>
    </w:p>
    <w:p w14:paraId="50D4BEDB">
      <w:pPr>
        <w:widowControl/>
        <w:spacing w:line="360" w:lineRule="auto"/>
        <w:ind w:firstLine="56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u w:val="single"/>
        </w:rPr>
        <w:t>（投标人）</w:t>
      </w:r>
      <w:r>
        <w:rPr>
          <w:rFonts w:hint="eastAsia" w:asciiTheme="minorEastAsia" w:hAnsiTheme="minorEastAsia" w:eastAsiaTheme="minorEastAsia"/>
          <w:color w:val="auto"/>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129FC4FF">
      <w:pPr>
        <w:widowControl/>
        <w:spacing w:line="360" w:lineRule="auto"/>
        <w:ind w:firstLine="56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我单位具备《中华人民共和国政府采购法》第二十二条规定的条件。</w:t>
      </w:r>
    </w:p>
    <w:p w14:paraId="012170E2">
      <w:pPr>
        <w:widowControl/>
        <w:spacing w:line="360" w:lineRule="auto"/>
        <w:ind w:firstLine="56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我单位作为法律、财务和运作上独立于采购人、采购代理机构的投标人，在此保证所提交的所有文件和全部说明是真实的和正确的。</w:t>
      </w:r>
    </w:p>
    <w:p w14:paraId="67A951C1">
      <w:pPr>
        <w:widowControl/>
        <w:spacing w:line="360" w:lineRule="auto"/>
        <w:ind w:firstLine="56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我单位与其他投标人不存在单位负责人为同一人或者存在直接控股、管理关系。</w:t>
      </w:r>
    </w:p>
    <w:p w14:paraId="48912BA4">
      <w:pPr>
        <w:spacing w:line="360" w:lineRule="auto"/>
        <w:ind w:firstLine="56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如果本承诺与事实不符，我单位愿意无条件承担由此给本项目带来的一切后果(包括经济损失)。</w:t>
      </w:r>
    </w:p>
    <w:p w14:paraId="013CE222">
      <w:pPr>
        <w:spacing w:line="360" w:lineRule="auto"/>
        <w:rPr>
          <w:rFonts w:asciiTheme="minorEastAsia" w:hAnsiTheme="minorEastAsia" w:eastAsiaTheme="minorEastAsia"/>
          <w:color w:val="auto"/>
          <w:sz w:val="28"/>
          <w:szCs w:val="28"/>
        </w:rPr>
      </w:pPr>
    </w:p>
    <w:p w14:paraId="0E4C73AF">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投标人名称：</w:t>
      </w:r>
      <w:r>
        <w:rPr>
          <w:rFonts w:hint="eastAsia" w:asciiTheme="minorEastAsia" w:hAnsiTheme="minorEastAsia" w:eastAsiaTheme="minorEastAsia"/>
          <w:color w:val="auto"/>
          <w:sz w:val="28"/>
          <w:szCs w:val="28"/>
          <w:u w:val="single"/>
        </w:rPr>
        <w:t>（全称、盖章）</w:t>
      </w:r>
      <w:r>
        <w:rPr>
          <w:rFonts w:asciiTheme="minorEastAsia" w:hAnsiTheme="minorEastAsia" w:eastAsiaTheme="minorEastAsia"/>
          <w:color w:val="auto"/>
          <w:sz w:val="28"/>
          <w:szCs w:val="28"/>
          <w:u w:val="single"/>
        </w:rPr>
        <w:t>  </w:t>
      </w:r>
    </w:p>
    <w:p w14:paraId="1C8E8EB2">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rPr>
        <w:t>法定代表人（或经营者）</w:t>
      </w:r>
      <w:r>
        <w:rPr>
          <w:rFonts w:hint="eastAsia" w:asciiTheme="minorEastAsia" w:hAnsiTheme="minorEastAsia" w:eastAsiaTheme="minorEastAsia"/>
          <w:color w:val="auto"/>
          <w:sz w:val="28"/>
          <w:szCs w:val="28"/>
        </w:rPr>
        <w:t>或授权代表：</w:t>
      </w:r>
      <w:r>
        <w:rPr>
          <w:rFonts w:hint="eastAsia" w:asciiTheme="minorEastAsia" w:hAnsiTheme="minorEastAsia" w:eastAsiaTheme="minorEastAsia"/>
          <w:color w:val="auto"/>
          <w:sz w:val="28"/>
          <w:szCs w:val="28"/>
          <w:u w:val="single"/>
        </w:rPr>
        <w:t>（签字）</w:t>
      </w:r>
      <w:r>
        <w:rPr>
          <w:rFonts w:asciiTheme="minorEastAsia" w:hAnsiTheme="minorEastAsia" w:eastAsiaTheme="minorEastAsia"/>
          <w:color w:val="auto"/>
          <w:sz w:val="28"/>
          <w:szCs w:val="28"/>
          <w:u w:val="single"/>
        </w:rPr>
        <w:t>  </w:t>
      </w:r>
    </w:p>
    <w:p w14:paraId="384625A7">
      <w:pPr>
        <w:spacing w:line="360" w:lineRule="auto"/>
        <w:ind w:firstLine="560" w:firstLineChars="200"/>
        <w:rPr>
          <w:rFonts w:asciiTheme="minorEastAsia" w:hAnsiTheme="minorEastAsia" w:eastAsiaTheme="minorEastAsia"/>
          <w:b/>
          <w:color w:val="auto"/>
          <w:sz w:val="36"/>
          <w:szCs w:val="36"/>
        </w:rPr>
      </w:pPr>
      <w:r>
        <w:rPr>
          <w:rFonts w:hint="eastAsia" w:asciiTheme="minorEastAsia" w:hAnsiTheme="minorEastAsia" w:eastAsiaTheme="minorEastAsia"/>
          <w:color w:val="auto"/>
          <w:sz w:val="28"/>
          <w:szCs w:val="28"/>
        </w:rPr>
        <w:t>日期：</w:t>
      </w:r>
      <w:r>
        <w:rPr>
          <w:rFonts w:hint="eastAsia" w:asciiTheme="minorEastAsia" w:hAnsiTheme="minorEastAsia" w:eastAsiaTheme="minorEastAsia"/>
          <w:color w:val="auto"/>
          <w:sz w:val="28"/>
          <w:szCs w:val="28"/>
          <w:u w:val="single"/>
        </w:rPr>
        <w:t>　　年　　月　　日　</w:t>
      </w:r>
      <w:r>
        <w:rPr>
          <w:rFonts w:asciiTheme="minorEastAsia" w:hAnsiTheme="minorEastAsia" w:eastAsiaTheme="minorEastAsia"/>
          <w:b/>
          <w:color w:val="auto"/>
          <w:sz w:val="28"/>
          <w:szCs w:val="28"/>
        </w:rPr>
        <w:br w:type="page"/>
      </w:r>
    </w:p>
    <w:p w14:paraId="742E111C">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附件3：</w:t>
      </w:r>
    </w:p>
    <w:p w14:paraId="7D870042">
      <w:pPr>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无重大违法记录声明函</w:t>
      </w:r>
    </w:p>
    <w:p w14:paraId="6BEA6B5F">
      <w:pPr>
        <w:tabs>
          <w:tab w:val="left" w:pos="3952"/>
        </w:tabs>
        <w:rPr>
          <w:rFonts w:asciiTheme="minorEastAsia" w:hAnsiTheme="minorEastAsia" w:eastAsiaTheme="minorEastAsia"/>
          <w:color w:val="auto"/>
          <w:sz w:val="24"/>
        </w:rPr>
      </w:pPr>
    </w:p>
    <w:p w14:paraId="7D11F7CC">
      <w:pPr>
        <w:spacing w:line="480" w:lineRule="auto"/>
        <w:rPr>
          <w:rFonts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rPr>
        <w:t>致：</w:t>
      </w:r>
      <w:r>
        <w:rPr>
          <w:rFonts w:hint="eastAsia" w:asciiTheme="minorEastAsia" w:hAnsiTheme="minorEastAsia" w:eastAsiaTheme="minorEastAsia"/>
          <w:color w:val="auto"/>
          <w:sz w:val="28"/>
          <w:szCs w:val="28"/>
          <w:u w:val="single"/>
        </w:rPr>
        <w:t>江门市技师学院</w:t>
      </w:r>
    </w:p>
    <w:p w14:paraId="5A3713B5">
      <w:pPr>
        <w:spacing w:line="480" w:lineRule="auto"/>
        <w:ind w:firstLine="56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u w:val="single"/>
        </w:rPr>
        <w:t>（投标人）</w:t>
      </w:r>
      <w:r>
        <w:rPr>
          <w:rFonts w:hint="eastAsia" w:asciiTheme="minorEastAsia" w:hAnsiTheme="minorEastAsia" w:eastAsiaTheme="minorEastAsia"/>
          <w:color w:val="auto"/>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71739A8D">
      <w:pPr>
        <w:spacing w:line="480" w:lineRule="auto"/>
        <w:ind w:firstLine="560" w:firstLineChars="2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如果本承诺与事实不符，我单位愿意无条件承担由此给本项目带来的一切后果(包括经济损失)。</w:t>
      </w:r>
    </w:p>
    <w:p w14:paraId="3EA60D4F">
      <w:pPr>
        <w:spacing w:line="480" w:lineRule="auto"/>
        <w:rPr>
          <w:rFonts w:asciiTheme="minorEastAsia" w:hAnsiTheme="minorEastAsia" w:eastAsiaTheme="minorEastAsia"/>
          <w:color w:val="auto"/>
          <w:sz w:val="28"/>
          <w:szCs w:val="28"/>
        </w:rPr>
      </w:pPr>
    </w:p>
    <w:p w14:paraId="3291637A">
      <w:pPr>
        <w:spacing w:line="480" w:lineRule="auto"/>
        <w:rPr>
          <w:rFonts w:asciiTheme="minorEastAsia" w:hAnsiTheme="minorEastAsia" w:eastAsiaTheme="minorEastAsia"/>
          <w:color w:val="auto"/>
          <w:sz w:val="28"/>
          <w:szCs w:val="28"/>
        </w:rPr>
      </w:pPr>
    </w:p>
    <w:p w14:paraId="21CD6DB6">
      <w:pPr>
        <w:spacing w:line="48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投标人名称：</w:t>
      </w:r>
      <w:r>
        <w:rPr>
          <w:rFonts w:hint="eastAsia" w:asciiTheme="minorEastAsia" w:hAnsiTheme="minorEastAsia" w:eastAsiaTheme="minorEastAsia"/>
          <w:color w:val="auto"/>
          <w:sz w:val="28"/>
          <w:szCs w:val="28"/>
          <w:u w:val="single"/>
        </w:rPr>
        <w:t>（全称、盖章）</w:t>
      </w:r>
      <w:r>
        <w:rPr>
          <w:rFonts w:asciiTheme="minorEastAsia" w:hAnsiTheme="minorEastAsia" w:eastAsiaTheme="minorEastAsia"/>
          <w:color w:val="auto"/>
          <w:sz w:val="28"/>
          <w:szCs w:val="28"/>
          <w:u w:val="single"/>
        </w:rPr>
        <w:t>  </w:t>
      </w:r>
    </w:p>
    <w:p w14:paraId="0F4CC216">
      <w:pPr>
        <w:spacing w:line="48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rPr>
        <w:t>法定代表人（或经营者）</w:t>
      </w:r>
      <w:r>
        <w:rPr>
          <w:rFonts w:hint="eastAsia" w:asciiTheme="minorEastAsia" w:hAnsiTheme="minorEastAsia" w:eastAsiaTheme="minorEastAsia"/>
          <w:color w:val="auto"/>
          <w:sz w:val="28"/>
          <w:szCs w:val="28"/>
        </w:rPr>
        <w:t>或授权代表：</w:t>
      </w:r>
      <w:r>
        <w:rPr>
          <w:rFonts w:hint="eastAsia" w:asciiTheme="minorEastAsia" w:hAnsiTheme="minorEastAsia" w:eastAsiaTheme="minorEastAsia"/>
          <w:color w:val="auto"/>
          <w:sz w:val="28"/>
          <w:szCs w:val="28"/>
          <w:u w:val="single"/>
        </w:rPr>
        <w:t>（签字）</w:t>
      </w:r>
      <w:r>
        <w:rPr>
          <w:rFonts w:asciiTheme="minorEastAsia" w:hAnsiTheme="minorEastAsia" w:eastAsiaTheme="minorEastAsia"/>
          <w:color w:val="auto"/>
          <w:sz w:val="28"/>
          <w:szCs w:val="28"/>
          <w:u w:val="single"/>
        </w:rPr>
        <w:t>  </w:t>
      </w:r>
    </w:p>
    <w:p w14:paraId="13A42106">
      <w:pPr>
        <w:spacing w:line="480" w:lineRule="auto"/>
        <w:ind w:firstLine="560" w:firstLineChars="200"/>
        <w:rPr>
          <w:rFonts w:hint="eastAsia"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rPr>
        <w:t>日期：</w:t>
      </w:r>
      <w:r>
        <w:rPr>
          <w:rFonts w:hint="eastAsia" w:asciiTheme="minorEastAsia" w:hAnsiTheme="minorEastAsia" w:eastAsiaTheme="minorEastAsia"/>
          <w:color w:val="auto"/>
          <w:sz w:val="28"/>
          <w:szCs w:val="28"/>
          <w:u w:val="single"/>
        </w:rPr>
        <w:t>　　年　　月　　日　</w:t>
      </w:r>
    </w:p>
    <w:p w14:paraId="26BAC0FE">
      <w:pPr>
        <w:spacing w:line="480" w:lineRule="auto"/>
        <w:ind w:firstLine="560" w:firstLineChars="200"/>
        <w:rPr>
          <w:rFonts w:hint="eastAsia" w:asciiTheme="minorEastAsia" w:hAnsiTheme="minorEastAsia" w:eastAsiaTheme="minorEastAsia"/>
          <w:color w:val="auto"/>
          <w:sz w:val="28"/>
          <w:szCs w:val="28"/>
          <w:u w:val="single"/>
        </w:rPr>
      </w:pPr>
    </w:p>
    <w:p w14:paraId="7792D110">
      <w:pPr>
        <w:spacing w:line="480" w:lineRule="auto"/>
        <w:ind w:firstLine="560" w:firstLineChars="200"/>
        <w:rPr>
          <w:rFonts w:hint="eastAsia" w:asciiTheme="minorEastAsia" w:hAnsiTheme="minorEastAsia" w:eastAsiaTheme="minorEastAsia"/>
          <w:color w:val="auto"/>
          <w:sz w:val="28"/>
          <w:szCs w:val="28"/>
          <w:u w:val="single"/>
        </w:rPr>
      </w:pPr>
    </w:p>
    <w:p w14:paraId="4E6CD439">
      <w:pPr>
        <w:widowControl/>
        <w:jc w:val="left"/>
        <w:rPr>
          <w:rFonts w:hint="eastAsia" w:asciiTheme="minorEastAsia" w:hAnsiTheme="minorEastAsia" w:eastAsiaTheme="minorEastAsia"/>
          <w:b/>
          <w:color w:val="auto"/>
          <w:sz w:val="36"/>
          <w:szCs w:val="36"/>
        </w:rPr>
      </w:pPr>
      <w:r>
        <w:rPr>
          <w:rFonts w:hint="eastAsia" w:asciiTheme="minorEastAsia" w:hAnsiTheme="minorEastAsia" w:eastAsiaTheme="minorEastAsia"/>
          <w:color w:val="auto"/>
          <w:sz w:val="24"/>
          <w:szCs w:val="24"/>
        </w:rPr>
        <w:t>附件</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rPr>
        <w:t>：</w:t>
      </w:r>
    </w:p>
    <w:p w14:paraId="0DCBC981">
      <w:pPr>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偏离表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2037"/>
        <w:gridCol w:w="2316"/>
        <w:gridCol w:w="1416"/>
        <w:gridCol w:w="1245"/>
      </w:tblGrid>
      <w:tr w14:paraId="776A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pct"/>
            <w:noWrap/>
            <w:vAlign w:val="center"/>
          </w:tcPr>
          <w:p w14:paraId="1C49E3FE">
            <w:pPr>
              <w:wordWrap w:val="0"/>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序号</w:t>
            </w:r>
          </w:p>
        </w:tc>
        <w:tc>
          <w:tcPr>
            <w:tcW w:w="1204" w:type="pct"/>
            <w:noWrap/>
            <w:vAlign w:val="center"/>
          </w:tcPr>
          <w:p w14:paraId="0B849F03">
            <w:pPr>
              <w:wordWrap w:val="0"/>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招标要求</w:t>
            </w:r>
          </w:p>
        </w:tc>
        <w:tc>
          <w:tcPr>
            <w:tcW w:w="1162" w:type="pct"/>
            <w:noWrap/>
            <w:vAlign w:val="center"/>
          </w:tcPr>
          <w:p w14:paraId="4E700888">
            <w:pPr>
              <w:wordWrap w:val="0"/>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投标人响应描述</w:t>
            </w:r>
          </w:p>
        </w:tc>
        <w:tc>
          <w:tcPr>
            <w:tcW w:w="710" w:type="pct"/>
            <w:noWrap/>
            <w:vAlign w:val="center"/>
          </w:tcPr>
          <w:p w14:paraId="517A26E0">
            <w:pPr>
              <w:wordWrap w:val="0"/>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偏离情况</w:t>
            </w:r>
          </w:p>
        </w:tc>
        <w:tc>
          <w:tcPr>
            <w:tcW w:w="762" w:type="pct"/>
            <w:noWrap/>
            <w:vAlign w:val="center"/>
          </w:tcPr>
          <w:p w14:paraId="62BF09F8">
            <w:pPr>
              <w:wordWrap w:val="0"/>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说明</w:t>
            </w:r>
          </w:p>
        </w:tc>
      </w:tr>
      <w:tr w14:paraId="25DD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8052B3C">
            <w:pPr>
              <w:wordWrap w:val="0"/>
              <w:spacing w:line="360" w:lineRule="auto"/>
              <w:jc w:val="center"/>
              <w:rPr>
                <w:rFonts w:cs="宋体" w:asciiTheme="minorEastAsia" w:hAnsiTheme="minorEastAsia" w:eastAsiaTheme="minorEastAsia"/>
                <w:color w:val="auto"/>
                <w:sz w:val="28"/>
                <w:szCs w:val="28"/>
              </w:rPr>
            </w:pPr>
          </w:p>
        </w:tc>
        <w:tc>
          <w:tcPr>
            <w:tcW w:w="1204" w:type="pct"/>
            <w:noWrap/>
            <w:vAlign w:val="center"/>
          </w:tcPr>
          <w:p w14:paraId="7837D349">
            <w:pPr>
              <w:wordWrap w:val="0"/>
              <w:spacing w:line="360" w:lineRule="auto"/>
              <w:jc w:val="center"/>
              <w:rPr>
                <w:rFonts w:cs="宋体" w:asciiTheme="minorEastAsia" w:hAnsiTheme="minorEastAsia" w:eastAsiaTheme="minorEastAsia"/>
                <w:color w:val="auto"/>
                <w:sz w:val="28"/>
                <w:szCs w:val="28"/>
              </w:rPr>
            </w:pPr>
          </w:p>
        </w:tc>
        <w:tc>
          <w:tcPr>
            <w:tcW w:w="1162" w:type="pct"/>
            <w:noWrap/>
            <w:vAlign w:val="center"/>
          </w:tcPr>
          <w:p w14:paraId="299AB539">
            <w:pPr>
              <w:wordWrap w:val="0"/>
              <w:spacing w:line="360" w:lineRule="auto"/>
              <w:jc w:val="center"/>
              <w:rPr>
                <w:rFonts w:cs="宋体" w:asciiTheme="minorEastAsia" w:hAnsiTheme="minorEastAsia" w:eastAsiaTheme="minorEastAsia"/>
                <w:color w:val="auto"/>
                <w:sz w:val="28"/>
                <w:szCs w:val="28"/>
              </w:rPr>
            </w:pPr>
          </w:p>
        </w:tc>
        <w:tc>
          <w:tcPr>
            <w:tcW w:w="710" w:type="pct"/>
            <w:noWrap/>
            <w:vAlign w:val="center"/>
          </w:tcPr>
          <w:p w14:paraId="1302B5A1">
            <w:pPr>
              <w:wordWrap w:val="0"/>
              <w:spacing w:line="360" w:lineRule="auto"/>
              <w:jc w:val="center"/>
              <w:rPr>
                <w:rFonts w:cs="宋体" w:asciiTheme="minorEastAsia" w:hAnsiTheme="minorEastAsia" w:eastAsiaTheme="minorEastAsia"/>
                <w:color w:val="auto"/>
                <w:sz w:val="28"/>
                <w:szCs w:val="28"/>
              </w:rPr>
            </w:pPr>
          </w:p>
        </w:tc>
        <w:tc>
          <w:tcPr>
            <w:tcW w:w="762" w:type="pct"/>
            <w:noWrap/>
            <w:vAlign w:val="center"/>
          </w:tcPr>
          <w:p w14:paraId="47479F1E">
            <w:pPr>
              <w:wordWrap w:val="0"/>
              <w:spacing w:line="360" w:lineRule="auto"/>
              <w:jc w:val="center"/>
              <w:rPr>
                <w:rFonts w:cs="宋体" w:asciiTheme="minorEastAsia" w:hAnsiTheme="minorEastAsia" w:eastAsiaTheme="minorEastAsia"/>
                <w:color w:val="auto"/>
                <w:sz w:val="28"/>
                <w:szCs w:val="28"/>
              </w:rPr>
            </w:pPr>
          </w:p>
        </w:tc>
      </w:tr>
      <w:tr w14:paraId="081E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7A3E68D2">
            <w:pPr>
              <w:wordWrap w:val="0"/>
              <w:spacing w:line="360" w:lineRule="auto"/>
              <w:jc w:val="center"/>
              <w:rPr>
                <w:rFonts w:cs="宋体" w:asciiTheme="minorEastAsia" w:hAnsiTheme="minorEastAsia" w:eastAsiaTheme="minorEastAsia"/>
                <w:color w:val="auto"/>
                <w:sz w:val="28"/>
                <w:szCs w:val="28"/>
              </w:rPr>
            </w:pPr>
          </w:p>
        </w:tc>
        <w:tc>
          <w:tcPr>
            <w:tcW w:w="1204" w:type="pct"/>
            <w:noWrap/>
            <w:vAlign w:val="center"/>
          </w:tcPr>
          <w:p w14:paraId="78913FBB">
            <w:pPr>
              <w:wordWrap w:val="0"/>
              <w:spacing w:line="360" w:lineRule="auto"/>
              <w:jc w:val="center"/>
              <w:rPr>
                <w:rFonts w:cs="宋体" w:asciiTheme="minorEastAsia" w:hAnsiTheme="minorEastAsia" w:eastAsiaTheme="minorEastAsia"/>
                <w:color w:val="auto"/>
                <w:sz w:val="28"/>
                <w:szCs w:val="28"/>
              </w:rPr>
            </w:pPr>
          </w:p>
        </w:tc>
        <w:tc>
          <w:tcPr>
            <w:tcW w:w="1162" w:type="pct"/>
            <w:noWrap/>
            <w:vAlign w:val="center"/>
          </w:tcPr>
          <w:p w14:paraId="7EDB3040">
            <w:pPr>
              <w:wordWrap w:val="0"/>
              <w:spacing w:line="360" w:lineRule="auto"/>
              <w:jc w:val="center"/>
              <w:rPr>
                <w:rFonts w:cs="宋体" w:asciiTheme="minorEastAsia" w:hAnsiTheme="minorEastAsia" w:eastAsiaTheme="minorEastAsia"/>
                <w:color w:val="auto"/>
                <w:sz w:val="28"/>
                <w:szCs w:val="28"/>
              </w:rPr>
            </w:pPr>
          </w:p>
        </w:tc>
        <w:tc>
          <w:tcPr>
            <w:tcW w:w="710" w:type="pct"/>
            <w:noWrap/>
            <w:vAlign w:val="center"/>
          </w:tcPr>
          <w:p w14:paraId="1F4756F3">
            <w:pPr>
              <w:wordWrap w:val="0"/>
              <w:spacing w:line="360" w:lineRule="auto"/>
              <w:jc w:val="center"/>
              <w:rPr>
                <w:rFonts w:cs="宋体" w:asciiTheme="minorEastAsia" w:hAnsiTheme="minorEastAsia" w:eastAsiaTheme="minorEastAsia"/>
                <w:color w:val="auto"/>
                <w:sz w:val="28"/>
                <w:szCs w:val="28"/>
              </w:rPr>
            </w:pPr>
          </w:p>
        </w:tc>
        <w:tc>
          <w:tcPr>
            <w:tcW w:w="762" w:type="pct"/>
            <w:noWrap/>
            <w:vAlign w:val="center"/>
          </w:tcPr>
          <w:p w14:paraId="1E870780">
            <w:pPr>
              <w:wordWrap w:val="0"/>
              <w:spacing w:line="360" w:lineRule="auto"/>
              <w:jc w:val="center"/>
              <w:rPr>
                <w:rFonts w:cs="宋体" w:asciiTheme="minorEastAsia" w:hAnsiTheme="minorEastAsia" w:eastAsiaTheme="minorEastAsia"/>
                <w:color w:val="auto"/>
                <w:sz w:val="28"/>
                <w:szCs w:val="28"/>
              </w:rPr>
            </w:pPr>
          </w:p>
        </w:tc>
      </w:tr>
      <w:tr w14:paraId="7E83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D62D1AD">
            <w:pPr>
              <w:wordWrap w:val="0"/>
              <w:spacing w:line="360" w:lineRule="auto"/>
              <w:jc w:val="center"/>
              <w:rPr>
                <w:rFonts w:cs="宋体" w:asciiTheme="minorEastAsia" w:hAnsiTheme="minorEastAsia" w:eastAsiaTheme="minorEastAsia"/>
                <w:color w:val="auto"/>
                <w:sz w:val="28"/>
                <w:szCs w:val="28"/>
              </w:rPr>
            </w:pPr>
          </w:p>
        </w:tc>
        <w:tc>
          <w:tcPr>
            <w:tcW w:w="1204" w:type="pct"/>
            <w:noWrap/>
            <w:vAlign w:val="center"/>
          </w:tcPr>
          <w:p w14:paraId="3B324A6D">
            <w:pPr>
              <w:wordWrap w:val="0"/>
              <w:spacing w:line="360" w:lineRule="auto"/>
              <w:jc w:val="center"/>
              <w:rPr>
                <w:rFonts w:cs="宋体" w:asciiTheme="minorEastAsia" w:hAnsiTheme="minorEastAsia" w:eastAsiaTheme="minorEastAsia"/>
                <w:color w:val="auto"/>
                <w:sz w:val="28"/>
                <w:szCs w:val="28"/>
              </w:rPr>
            </w:pPr>
          </w:p>
        </w:tc>
        <w:tc>
          <w:tcPr>
            <w:tcW w:w="1162" w:type="pct"/>
            <w:noWrap/>
            <w:vAlign w:val="center"/>
          </w:tcPr>
          <w:p w14:paraId="2C6E98D0">
            <w:pPr>
              <w:wordWrap w:val="0"/>
              <w:spacing w:line="360" w:lineRule="auto"/>
              <w:jc w:val="center"/>
              <w:rPr>
                <w:rFonts w:cs="宋体" w:asciiTheme="minorEastAsia" w:hAnsiTheme="minorEastAsia" w:eastAsiaTheme="minorEastAsia"/>
                <w:color w:val="auto"/>
                <w:sz w:val="28"/>
                <w:szCs w:val="28"/>
              </w:rPr>
            </w:pPr>
          </w:p>
        </w:tc>
        <w:tc>
          <w:tcPr>
            <w:tcW w:w="710" w:type="pct"/>
            <w:noWrap/>
            <w:vAlign w:val="center"/>
          </w:tcPr>
          <w:p w14:paraId="3D1C63F5">
            <w:pPr>
              <w:wordWrap w:val="0"/>
              <w:spacing w:line="360" w:lineRule="auto"/>
              <w:jc w:val="center"/>
              <w:rPr>
                <w:rFonts w:cs="宋体" w:asciiTheme="minorEastAsia" w:hAnsiTheme="minorEastAsia" w:eastAsiaTheme="minorEastAsia"/>
                <w:color w:val="auto"/>
                <w:sz w:val="28"/>
                <w:szCs w:val="28"/>
              </w:rPr>
            </w:pPr>
          </w:p>
        </w:tc>
        <w:tc>
          <w:tcPr>
            <w:tcW w:w="762" w:type="pct"/>
            <w:noWrap/>
            <w:vAlign w:val="center"/>
          </w:tcPr>
          <w:p w14:paraId="15E46A9E">
            <w:pPr>
              <w:wordWrap w:val="0"/>
              <w:spacing w:line="360" w:lineRule="auto"/>
              <w:jc w:val="center"/>
              <w:rPr>
                <w:rFonts w:cs="宋体" w:asciiTheme="minorEastAsia" w:hAnsiTheme="minorEastAsia" w:eastAsiaTheme="minorEastAsia"/>
                <w:color w:val="auto"/>
                <w:sz w:val="28"/>
                <w:szCs w:val="28"/>
              </w:rPr>
            </w:pPr>
          </w:p>
        </w:tc>
      </w:tr>
      <w:tr w14:paraId="0709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1CEC5A4">
            <w:pPr>
              <w:wordWrap w:val="0"/>
              <w:spacing w:line="360" w:lineRule="auto"/>
              <w:jc w:val="center"/>
              <w:rPr>
                <w:rFonts w:cs="宋体" w:asciiTheme="minorEastAsia" w:hAnsiTheme="minorEastAsia" w:eastAsiaTheme="minorEastAsia"/>
                <w:color w:val="auto"/>
                <w:sz w:val="28"/>
                <w:szCs w:val="28"/>
              </w:rPr>
            </w:pPr>
          </w:p>
        </w:tc>
        <w:tc>
          <w:tcPr>
            <w:tcW w:w="1204" w:type="pct"/>
            <w:noWrap/>
            <w:vAlign w:val="center"/>
          </w:tcPr>
          <w:p w14:paraId="3C71469F">
            <w:pPr>
              <w:wordWrap w:val="0"/>
              <w:spacing w:line="360" w:lineRule="auto"/>
              <w:jc w:val="center"/>
              <w:rPr>
                <w:rFonts w:cs="宋体" w:asciiTheme="minorEastAsia" w:hAnsiTheme="minorEastAsia" w:eastAsiaTheme="minorEastAsia"/>
                <w:color w:val="auto"/>
                <w:sz w:val="28"/>
                <w:szCs w:val="28"/>
              </w:rPr>
            </w:pPr>
          </w:p>
        </w:tc>
        <w:tc>
          <w:tcPr>
            <w:tcW w:w="1162" w:type="pct"/>
            <w:noWrap/>
            <w:vAlign w:val="center"/>
          </w:tcPr>
          <w:p w14:paraId="0EEA0723">
            <w:pPr>
              <w:wordWrap w:val="0"/>
              <w:spacing w:line="360" w:lineRule="auto"/>
              <w:jc w:val="center"/>
              <w:rPr>
                <w:rFonts w:cs="宋体" w:asciiTheme="minorEastAsia" w:hAnsiTheme="minorEastAsia" w:eastAsiaTheme="minorEastAsia"/>
                <w:color w:val="auto"/>
                <w:sz w:val="28"/>
                <w:szCs w:val="28"/>
              </w:rPr>
            </w:pPr>
          </w:p>
        </w:tc>
        <w:tc>
          <w:tcPr>
            <w:tcW w:w="710" w:type="pct"/>
            <w:noWrap/>
            <w:vAlign w:val="center"/>
          </w:tcPr>
          <w:p w14:paraId="71E7E13E">
            <w:pPr>
              <w:wordWrap w:val="0"/>
              <w:spacing w:line="360" w:lineRule="auto"/>
              <w:jc w:val="center"/>
              <w:rPr>
                <w:rFonts w:cs="宋体" w:asciiTheme="minorEastAsia" w:hAnsiTheme="minorEastAsia" w:eastAsiaTheme="minorEastAsia"/>
                <w:color w:val="auto"/>
                <w:sz w:val="28"/>
                <w:szCs w:val="28"/>
              </w:rPr>
            </w:pPr>
          </w:p>
        </w:tc>
        <w:tc>
          <w:tcPr>
            <w:tcW w:w="762" w:type="pct"/>
            <w:noWrap/>
            <w:vAlign w:val="center"/>
          </w:tcPr>
          <w:p w14:paraId="7A9C6622">
            <w:pPr>
              <w:wordWrap w:val="0"/>
              <w:spacing w:line="360" w:lineRule="auto"/>
              <w:jc w:val="center"/>
              <w:rPr>
                <w:rFonts w:cs="宋体" w:asciiTheme="minorEastAsia" w:hAnsiTheme="minorEastAsia" w:eastAsiaTheme="minorEastAsia"/>
                <w:color w:val="auto"/>
                <w:sz w:val="28"/>
                <w:szCs w:val="28"/>
              </w:rPr>
            </w:pPr>
          </w:p>
        </w:tc>
      </w:tr>
      <w:tr w14:paraId="5B75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5B167EE0">
            <w:pPr>
              <w:wordWrap w:val="0"/>
              <w:spacing w:line="360" w:lineRule="auto"/>
              <w:jc w:val="center"/>
              <w:rPr>
                <w:rFonts w:cs="宋体" w:asciiTheme="minorEastAsia" w:hAnsiTheme="minorEastAsia" w:eastAsiaTheme="minorEastAsia"/>
                <w:color w:val="auto"/>
                <w:sz w:val="28"/>
                <w:szCs w:val="28"/>
              </w:rPr>
            </w:pPr>
          </w:p>
        </w:tc>
        <w:tc>
          <w:tcPr>
            <w:tcW w:w="1204" w:type="pct"/>
            <w:noWrap/>
            <w:vAlign w:val="center"/>
          </w:tcPr>
          <w:p w14:paraId="0F15438B">
            <w:pPr>
              <w:wordWrap w:val="0"/>
              <w:spacing w:line="360" w:lineRule="auto"/>
              <w:jc w:val="center"/>
              <w:rPr>
                <w:rFonts w:cs="宋体" w:asciiTheme="minorEastAsia" w:hAnsiTheme="minorEastAsia" w:eastAsiaTheme="minorEastAsia"/>
                <w:color w:val="auto"/>
                <w:sz w:val="28"/>
                <w:szCs w:val="28"/>
              </w:rPr>
            </w:pPr>
          </w:p>
        </w:tc>
        <w:tc>
          <w:tcPr>
            <w:tcW w:w="1162" w:type="pct"/>
            <w:noWrap/>
            <w:vAlign w:val="center"/>
          </w:tcPr>
          <w:p w14:paraId="537DCD32">
            <w:pPr>
              <w:wordWrap w:val="0"/>
              <w:spacing w:line="360" w:lineRule="auto"/>
              <w:jc w:val="center"/>
              <w:rPr>
                <w:rFonts w:cs="宋体" w:asciiTheme="minorEastAsia" w:hAnsiTheme="minorEastAsia" w:eastAsiaTheme="minorEastAsia"/>
                <w:color w:val="auto"/>
                <w:sz w:val="28"/>
                <w:szCs w:val="28"/>
              </w:rPr>
            </w:pPr>
          </w:p>
        </w:tc>
        <w:tc>
          <w:tcPr>
            <w:tcW w:w="710" w:type="pct"/>
            <w:noWrap/>
            <w:vAlign w:val="center"/>
          </w:tcPr>
          <w:p w14:paraId="1BB7270E">
            <w:pPr>
              <w:wordWrap w:val="0"/>
              <w:spacing w:line="360" w:lineRule="auto"/>
              <w:jc w:val="center"/>
              <w:rPr>
                <w:rFonts w:cs="宋体" w:asciiTheme="minorEastAsia" w:hAnsiTheme="minorEastAsia" w:eastAsiaTheme="minorEastAsia"/>
                <w:color w:val="auto"/>
                <w:sz w:val="28"/>
                <w:szCs w:val="28"/>
              </w:rPr>
            </w:pPr>
          </w:p>
        </w:tc>
        <w:tc>
          <w:tcPr>
            <w:tcW w:w="762" w:type="pct"/>
            <w:noWrap/>
            <w:vAlign w:val="center"/>
          </w:tcPr>
          <w:p w14:paraId="66655C6E">
            <w:pPr>
              <w:wordWrap w:val="0"/>
              <w:spacing w:line="360" w:lineRule="auto"/>
              <w:jc w:val="center"/>
              <w:rPr>
                <w:rFonts w:cs="宋体" w:asciiTheme="minorEastAsia" w:hAnsiTheme="minorEastAsia" w:eastAsiaTheme="minorEastAsia"/>
                <w:color w:val="auto"/>
                <w:sz w:val="28"/>
                <w:szCs w:val="28"/>
              </w:rPr>
            </w:pPr>
          </w:p>
        </w:tc>
      </w:tr>
      <w:tr w14:paraId="0720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6E7DD9E8">
            <w:pPr>
              <w:wordWrap w:val="0"/>
              <w:spacing w:line="360" w:lineRule="auto"/>
              <w:jc w:val="center"/>
              <w:rPr>
                <w:rFonts w:cs="宋体" w:asciiTheme="minorEastAsia" w:hAnsiTheme="minorEastAsia" w:eastAsiaTheme="minorEastAsia"/>
                <w:color w:val="auto"/>
                <w:sz w:val="28"/>
                <w:szCs w:val="28"/>
              </w:rPr>
            </w:pPr>
          </w:p>
        </w:tc>
        <w:tc>
          <w:tcPr>
            <w:tcW w:w="1204" w:type="pct"/>
            <w:noWrap/>
            <w:vAlign w:val="center"/>
          </w:tcPr>
          <w:p w14:paraId="013256C9">
            <w:pPr>
              <w:wordWrap w:val="0"/>
              <w:spacing w:line="360" w:lineRule="auto"/>
              <w:jc w:val="center"/>
              <w:rPr>
                <w:rFonts w:cs="宋体" w:asciiTheme="minorEastAsia" w:hAnsiTheme="minorEastAsia" w:eastAsiaTheme="minorEastAsia"/>
                <w:color w:val="auto"/>
                <w:sz w:val="28"/>
                <w:szCs w:val="28"/>
              </w:rPr>
            </w:pPr>
          </w:p>
        </w:tc>
        <w:tc>
          <w:tcPr>
            <w:tcW w:w="1162" w:type="pct"/>
            <w:noWrap/>
            <w:vAlign w:val="center"/>
          </w:tcPr>
          <w:p w14:paraId="5E85F80F">
            <w:pPr>
              <w:wordWrap w:val="0"/>
              <w:spacing w:line="360" w:lineRule="auto"/>
              <w:jc w:val="center"/>
              <w:rPr>
                <w:rFonts w:cs="宋体" w:asciiTheme="minorEastAsia" w:hAnsiTheme="minorEastAsia" w:eastAsiaTheme="minorEastAsia"/>
                <w:color w:val="auto"/>
                <w:sz w:val="28"/>
                <w:szCs w:val="28"/>
              </w:rPr>
            </w:pPr>
          </w:p>
        </w:tc>
        <w:tc>
          <w:tcPr>
            <w:tcW w:w="710" w:type="pct"/>
            <w:noWrap/>
            <w:vAlign w:val="center"/>
          </w:tcPr>
          <w:p w14:paraId="5B0C640F">
            <w:pPr>
              <w:wordWrap w:val="0"/>
              <w:spacing w:line="360" w:lineRule="auto"/>
              <w:jc w:val="center"/>
              <w:rPr>
                <w:rFonts w:cs="宋体" w:asciiTheme="minorEastAsia" w:hAnsiTheme="minorEastAsia" w:eastAsiaTheme="minorEastAsia"/>
                <w:color w:val="auto"/>
                <w:sz w:val="28"/>
                <w:szCs w:val="28"/>
              </w:rPr>
            </w:pPr>
          </w:p>
        </w:tc>
        <w:tc>
          <w:tcPr>
            <w:tcW w:w="762" w:type="pct"/>
            <w:noWrap/>
            <w:vAlign w:val="center"/>
          </w:tcPr>
          <w:p w14:paraId="0B4D5DB8">
            <w:pPr>
              <w:wordWrap w:val="0"/>
              <w:spacing w:line="360" w:lineRule="auto"/>
              <w:jc w:val="center"/>
              <w:rPr>
                <w:rFonts w:cs="宋体" w:asciiTheme="minorEastAsia" w:hAnsiTheme="minorEastAsia" w:eastAsiaTheme="minorEastAsia"/>
                <w:color w:val="auto"/>
                <w:sz w:val="28"/>
                <w:szCs w:val="28"/>
              </w:rPr>
            </w:pPr>
          </w:p>
        </w:tc>
      </w:tr>
      <w:tr w14:paraId="6475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04B4148B">
            <w:pPr>
              <w:wordWrap w:val="0"/>
              <w:spacing w:line="360" w:lineRule="auto"/>
              <w:jc w:val="center"/>
              <w:rPr>
                <w:rFonts w:cs="宋体" w:asciiTheme="minorEastAsia" w:hAnsiTheme="minorEastAsia" w:eastAsiaTheme="minorEastAsia"/>
                <w:color w:val="auto"/>
                <w:sz w:val="28"/>
                <w:szCs w:val="28"/>
              </w:rPr>
            </w:pPr>
          </w:p>
        </w:tc>
        <w:tc>
          <w:tcPr>
            <w:tcW w:w="1204" w:type="pct"/>
            <w:noWrap/>
            <w:vAlign w:val="center"/>
          </w:tcPr>
          <w:p w14:paraId="14489268">
            <w:pPr>
              <w:wordWrap w:val="0"/>
              <w:spacing w:line="360" w:lineRule="auto"/>
              <w:jc w:val="center"/>
              <w:rPr>
                <w:rFonts w:cs="宋体" w:asciiTheme="minorEastAsia" w:hAnsiTheme="minorEastAsia" w:eastAsiaTheme="minorEastAsia"/>
                <w:color w:val="auto"/>
                <w:sz w:val="28"/>
                <w:szCs w:val="28"/>
              </w:rPr>
            </w:pPr>
          </w:p>
        </w:tc>
        <w:tc>
          <w:tcPr>
            <w:tcW w:w="1162" w:type="pct"/>
            <w:noWrap/>
            <w:vAlign w:val="center"/>
          </w:tcPr>
          <w:p w14:paraId="14BAEDF8">
            <w:pPr>
              <w:wordWrap w:val="0"/>
              <w:spacing w:line="360" w:lineRule="auto"/>
              <w:jc w:val="center"/>
              <w:rPr>
                <w:rFonts w:cs="宋体" w:asciiTheme="minorEastAsia" w:hAnsiTheme="minorEastAsia" w:eastAsiaTheme="minorEastAsia"/>
                <w:color w:val="auto"/>
                <w:sz w:val="28"/>
                <w:szCs w:val="28"/>
              </w:rPr>
            </w:pPr>
          </w:p>
        </w:tc>
        <w:tc>
          <w:tcPr>
            <w:tcW w:w="710" w:type="pct"/>
            <w:noWrap/>
            <w:vAlign w:val="center"/>
          </w:tcPr>
          <w:p w14:paraId="39852CF1">
            <w:pPr>
              <w:wordWrap w:val="0"/>
              <w:spacing w:line="360" w:lineRule="auto"/>
              <w:jc w:val="center"/>
              <w:rPr>
                <w:rFonts w:cs="宋体" w:asciiTheme="minorEastAsia" w:hAnsiTheme="minorEastAsia" w:eastAsiaTheme="minorEastAsia"/>
                <w:color w:val="auto"/>
                <w:sz w:val="28"/>
                <w:szCs w:val="28"/>
              </w:rPr>
            </w:pPr>
          </w:p>
        </w:tc>
        <w:tc>
          <w:tcPr>
            <w:tcW w:w="762" w:type="pct"/>
            <w:noWrap/>
            <w:vAlign w:val="center"/>
          </w:tcPr>
          <w:p w14:paraId="1420E4C2">
            <w:pPr>
              <w:wordWrap w:val="0"/>
              <w:spacing w:line="360" w:lineRule="auto"/>
              <w:jc w:val="center"/>
              <w:rPr>
                <w:rFonts w:cs="宋体" w:asciiTheme="minorEastAsia" w:hAnsiTheme="minorEastAsia" w:eastAsiaTheme="minorEastAsia"/>
                <w:color w:val="auto"/>
                <w:sz w:val="28"/>
                <w:szCs w:val="28"/>
              </w:rPr>
            </w:pPr>
          </w:p>
        </w:tc>
      </w:tr>
      <w:tr w14:paraId="1E87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pct"/>
            <w:noWrap/>
            <w:vAlign w:val="center"/>
          </w:tcPr>
          <w:p w14:paraId="20DA5C3C">
            <w:pPr>
              <w:wordWrap w:val="0"/>
              <w:spacing w:line="360" w:lineRule="auto"/>
              <w:jc w:val="center"/>
              <w:rPr>
                <w:rFonts w:cs="宋体" w:asciiTheme="minorEastAsia" w:hAnsiTheme="minorEastAsia" w:eastAsiaTheme="minorEastAsia"/>
                <w:color w:val="auto"/>
                <w:sz w:val="28"/>
                <w:szCs w:val="28"/>
              </w:rPr>
            </w:pPr>
          </w:p>
        </w:tc>
        <w:tc>
          <w:tcPr>
            <w:tcW w:w="1204" w:type="pct"/>
            <w:noWrap/>
            <w:vAlign w:val="center"/>
          </w:tcPr>
          <w:p w14:paraId="3FFB730D">
            <w:pPr>
              <w:wordWrap w:val="0"/>
              <w:spacing w:line="360" w:lineRule="auto"/>
              <w:jc w:val="center"/>
              <w:rPr>
                <w:rFonts w:cs="宋体" w:asciiTheme="minorEastAsia" w:hAnsiTheme="minorEastAsia" w:eastAsiaTheme="minorEastAsia"/>
                <w:color w:val="auto"/>
                <w:sz w:val="28"/>
                <w:szCs w:val="28"/>
              </w:rPr>
            </w:pPr>
          </w:p>
        </w:tc>
        <w:tc>
          <w:tcPr>
            <w:tcW w:w="1162" w:type="pct"/>
            <w:noWrap/>
            <w:vAlign w:val="center"/>
          </w:tcPr>
          <w:p w14:paraId="07FBDE5B">
            <w:pPr>
              <w:wordWrap w:val="0"/>
              <w:spacing w:line="360" w:lineRule="auto"/>
              <w:jc w:val="center"/>
              <w:rPr>
                <w:rFonts w:cs="宋体" w:asciiTheme="minorEastAsia" w:hAnsiTheme="minorEastAsia" w:eastAsiaTheme="minorEastAsia"/>
                <w:color w:val="auto"/>
                <w:sz w:val="28"/>
                <w:szCs w:val="28"/>
              </w:rPr>
            </w:pPr>
          </w:p>
        </w:tc>
        <w:tc>
          <w:tcPr>
            <w:tcW w:w="710" w:type="pct"/>
            <w:noWrap/>
            <w:vAlign w:val="center"/>
          </w:tcPr>
          <w:p w14:paraId="629F4976">
            <w:pPr>
              <w:wordWrap w:val="0"/>
              <w:spacing w:line="360" w:lineRule="auto"/>
              <w:jc w:val="center"/>
              <w:rPr>
                <w:rFonts w:cs="宋体" w:asciiTheme="minorEastAsia" w:hAnsiTheme="minorEastAsia" w:eastAsiaTheme="minorEastAsia"/>
                <w:color w:val="auto"/>
                <w:sz w:val="28"/>
                <w:szCs w:val="28"/>
              </w:rPr>
            </w:pPr>
          </w:p>
        </w:tc>
        <w:tc>
          <w:tcPr>
            <w:tcW w:w="762" w:type="pct"/>
            <w:noWrap/>
            <w:vAlign w:val="center"/>
          </w:tcPr>
          <w:p w14:paraId="702C865D">
            <w:pPr>
              <w:wordWrap w:val="0"/>
              <w:spacing w:line="360" w:lineRule="auto"/>
              <w:jc w:val="center"/>
              <w:rPr>
                <w:rFonts w:cs="宋体" w:asciiTheme="minorEastAsia" w:hAnsiTheme="minorEastAsia" w:eastAsiaTheme="minorEastAsia"/>
                <w:color w:val="auto"/>
                <w:sz w:val="28"/>
                <w:szCs w:val="28"/>
              </w:rPr>
            </w:pPr>
          </w:p>
        </w:tc>
      </w:tr>
    </w:tbl>
    <w:p w14:paraId="653F2732">
      <w:pPr>
        <w:jc w:val="left"/>
        <w:rPr>
          <w:rFonts w:asciiTheme="minorEastAsia" w:hAnsiTheme="minorEastAsia" w:eastAsiaTheme="minorEastAsia"/>
          <w:color w:val="auto"/>
          <w:sz w:val="24"/>
          <w:szCs w:val="24"/>
        </w:rPr>
      </w:pPr>
    </w:p>
    <w:p w14:paraId="02A3D49E">
      <w:pPr>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注</w:t>
      </w:r>
    </w:p>
    <w:p w14:paraId="16F8E9AC">
      <w:pPr>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1.投标人应注意需求书所列的要仅列出了最低限度。投标人在填写本表“投标人响应描述”时必须列出具体数值，特别是带“★”和“▲”的技术参数。</w:t>
      </w:r>
    </w:p>
    <w:p w14:paraId="1B35AC7E">
      <w:pPr>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2.本表可对应需求书逐项填写，有任何遗漏视为不响应要求。</w:t>
      </w:r>
    </w:p>
    <w:p w14:paraId="10938CE0">
      <w:pPr>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3.如有偏离，应在“偏离情况”栏内注明“</w:t>
      </w:r>
      <w:r>
        <w:rPr>
          <w:rFonts w:hint="eastAsia" w:asciiTheme="minorEastAsia" w:hAnsiTheme="minorEastAsia" w:eastAsiaTheme="minorEastAsia"/>
          <w:color w:val="auto"/>
          <w:sz w:val="28"/>
          <w:szCs w:val="28"/>
          <w:lang w:val="en-US" w:eastAsia="zh-CN"/>
        </w:rPr>
        <w:t>负偏离</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或</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正偏离</w:t>
      </w:r>
      <w:r>
        <w:rPr>
          <w:rFonts w:hint="eastAsia" w:asciiTheme="minorEastAsia" w:hAnsiTheme="minorEastAsia" w:eastAsiaTheme="minorEastAsia"/>
          <w:color w:val="auto"/>
          <w:sz w:val="28"/>
          <w:szCs w:val="28"/>
        </w:rPr>
        <w:t>”，并在“说明”栏内予以说明；如无偏离，应在“偏离情况”栏内注明“无”。</w:t>
      </w:r>
    </w:p>
    <w:p w14:paraId="25CCE4A9">
      <w:pPr>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4.投标人投报的内容与需求书的要求有差异时，无论这种差异是否有利于采购人，投标人都应按上述格式如实详细填写。</w:t>
      </w:r>
    </w:p>
    <w:p w14:paraId="0822E8E8">
      <w:pPr>
        <w:jc w:val="left"/>
        <w:rPr>
          <w:rFonts w:asciiTheme="minorEastAsia" w:hAnsiTheme="minorEastAsia" w:eastAsiaTheme="minorEastAsia"/>
          <w:color w:val="auto"/>
          <w:sz w:val="28"/>
          <w:szCs w:val="28"/>
        </w:rPr>
      </w:pPr>
    </w:p>
    <w:p w14:paraId="7AC64674">
      <w:pPr>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投标人名称（加盖公章）：</w:t>
      </w:r>
    </w:p>
    <w:p w14:paraId="1B9194FC">
      <w:pPr>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日期：年 月 日</w:t>
      </w:r>
    </w:p>
    <w:p w14:paraId="3F757085">
      <w:pPr>
        <w:spacing w:line="480" w:lineRule="auto"/>
        <w:ind w:firstLine="560" w:firstLineChars="200"/>
        <w:rPr>
          <w:rFonts w:hint="eastAsia" w:asciiTheme="minorEastAsia" w:hAnsiTheme="minorEastAsia" w:eastAsiaTheme="minorEastAsia"/>
          <w:color w:val="auto"/>
          <w:sz w:val="28"/>
          <w:szCs w:val="28"/>
          <w:u w:val="single"/>
        </w:rPr>
      </w:pPr>
    </w:p>
    <w:sectPr>
      <w:pgSz w:w="11906" w:h="16838"/>
      <w:pgMar w:top="1814" w:right="1559" w:bottom="1814" w:left="158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25ED2"/>
    <w:multiLevelType w:val="singleLevel"/>
    <w:tmpl w:val="86E25ED2"/>
    <w:lvl w:ilvl="0" w:tentative="0">
      <w:start w:val="2"/>
      <w:numFmt w:val="chineseCounting"/>
      <w:suff w:val="space"/>
      <w:lvlText w:val="第%1章"/>
      <w:lvlJc w:val="left"/>
      <w:rPr>
        <w:rFonts w:hint="eastAsia"/>
      </w:rPr>
    </w:lvl>
  </w:abstractNum>
  <w:abstractNum w:abstractNumId="1">
    <w:nsid w:val="FB9946F0"/>
    <w:multiLevelType w:val="singleLevel"/>
    <w:tmpl w:val="FB9946F0"/>
    <w:lvl w:ilvl="0" w:tentative="0">
      <w:start w:val="1"/>
      <w:numFmt w:val="decimal"/>
      <w:lvlText w:val="%1."/>
      <w:lvlJc w:val="left"/>
      <w:pPr>
        <w:tabs>
          <w:tab w:val="left" w:pos="312"/>
        </w:tabs>
        <w:ind w:left="120" w:leftChars="0" w:firstLine="0" w:firstLineChars="0"/>
      </w:pPr>
    </w:lvl>
  </w:abstractNum>
  <w:abstractNum w:abstractNumId="2">
    <w:nsid w:val="01AD458B"/>
    <w:multiLevelType w:val="singleLevel"/>
    <w:tmpl w:val="01AD458B"/>
    <w:lvl w:ilvl="0" w:tentative="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MzEzMGZiNTFiZmU5NDVmNmEyNmNiYmU2OTAyYmEifQ=="/>
  </w:docVars>
  <w:rsids>
    <w:rsidRoot w:val="00DB26D3"/>
    <w:rsid w:val="00015248"/>
    <w:rsid w:val="00025F74"/>
    <w:rsid w:val="00054AE8"/>
    <w:rsid w:val="00057FCF"/>
    <w:rsid w:val="000616E7"/>
    <w:rsid w:val="0006419E"/>
    <w:rsid w:val="000661A1"/>
    <w:rsid w:val="00076414"/>
    <w:rsid w:val="000B17E1"/>
    <w:rsid w:val="000B2EF5"/>
    <w:rsid w:val="000C49CF"/>
    <w:rsid w:val="000C60E9"/>
    <w:rsid w:val="000D2953"/>
    <w:rsid w:val="000E2B32"/>
    <w:rsid w:val="000E3FAD"/>
    <w:rsid w:val="000E4278"/>
    <w:rsid w:val="000F63D2"/>
    <w:rsid w:val="00100048"/>
    <w:rsid w:val="001038BA"/>
    <w:rsid w:val="001043A0"/>
    <w:rsid w:val="001072FB"/>
    <w:rsid w:val="00115863"/>
    <w:rsid w:val="00117FD7"/>
    <w:rsid w:val="001423F2"/>
    <w:rsid w:val="001479E1"/>
    <w:rsid w:val="001509F5"/>
    <w:rsid w:val="00156622"/>
    <w:rsid w:val="00164153"/>
    <w:rsid w:val="00164DEC"/>
    <w:rsid w:val="00175ABB"/>
    <w:rsid w:val="00186BEA"/>
    <w:rsid w:val="0019108D"/>
    <w:rsid w:val="001B2603"/>
    <w:rsid w:val="001B7692"/>
    <w:rsid w:val="001C0B0A"/>
    <w:rsid w:val="001D5722"/>
    <w:rsid w:val="001E4817"/>
    <w:rsid w:val="001F0622"/>
    <w:rsid w:val="001F2A23"/>
    <w:rsid w:val="002013B7"/>
    <w:rsid w:val="00210A66"/>
    <w:rsid w:val="00215B61"/>
    <w:rsid w:val="00234015"/>
    <w:rsid w:val="00247830"/>
    <w:rsid w:val="00254B63"/>
    <w:rsid w:val="0026214B"/>
    <w:rsid w:val="0026500B"/>
    <w:rsid w:val="00265979"/>
    <w:rsid w:val="002808D2"/>
    <w:rsid w:val="002827A0"/>
    <w:rsid w:val="00293695"/>
    <w:rsid w:val="002A316C"/>
    <w:rsid w:val="002B2219"/>
    <w:rsid w:val="002C048F"/>
    <w:rsid w:val="002C328E"/>
    <w:rsid w:val="002D71B0"/>
    <w:rsid w:val="002E6F37"/>
    <w:rsid w:val="002F2585"/>
    <w:rsid w:val="002F40F9"/>
    <w:rsid w:val="003230E6"/>
    <w:rsid w:val="00324D75"/>
    <w:rsid w:val="00325F80"/>
    <w:rsid w:val="00326E3D"/>
    <w:rsid w:val="00332EAA"/>
    <w:rsid w:val="00337CEF"/>
    <w:rsid w:val="00374EB0"/>
    <w:rsid w:val="0039383A"/>
    <w:rsid w:val="003B2E73"/>
    <w:rsid w:val="003C6FA4"/>
    <w:rsid w:val="003D0E85"/>
    <w:rsid w:val="003F371D"/>
    <w:rsid w:val="003F5E38"/>
    <w:rsid w:val="004028EA"/>
    <w:rsid w:val="004072EB"/>
    <w:rsid w:val="00414888"/>
    <w:rsid w:val="00415910"/>
    <w:rsid w:val="00416FB1"/>
    <w:rsid w:val="00426D72"/>
    <w:rsid w:val="00433DA9"/>
    <w:rsid w:val="00442147"/>
    <w:rsid w:val="00474E90"/>
    <w:rsid w:val="00485684"/>
    <w:rsid w:val="0049254B"/>
    <w:rsid w:val="004A422B"/>
    <w:rsid w:val="004A6383"/>
    <w:rsid w:val="004C2127"/>
    <w:rsid w:val="004D27DB"/>
    <w:rsid w:val="004F75D6"/>
    <w:rsid w:val="00510360"/>
    <w:rsid w:val="005141DE"/>
    <w:rsid w:val="00522248"/>
    <w:rsid w:val="00525C1F"/>
    <w:rsid w:val="00527316"/>
    <w:rsid w:val="00532BBD"/>
    <w:rsid w:val="00537BE5"/>
    <w:rsid w:val="0054645F"/>
    <w:rsid w:val="005465FC"/>
    <w:rsid w:val="005550AA"/>
    <w:rsid w:val="005642C1"/>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34CD2"/>
    <w:rsid w:val="00647274"/>
    <w:rsid w:val="00656251"/>
    <w:rsid w:val="0066246C"/>
    <w:rsid w:val="0066524B"/>
    <w:rsid w:val="00665C87"/>
    <w:rsid w:val="00672E68"/>
    <w:rsid w:val="00674B0C"/>
    <w:rsid w:val="006846F1"/>
    <w:rsid w:val="00692568"/>
    <w:rsid w:val="006A6C40"/>
    <w:rsid w:val="006C2538"/>
    <w:rsid w:val="006C733E"/>
    <w:rsid w:val="006D7408"/>
    <w:rsid w:val="006F519C"/>
    <w:rsid w:val="00704856"/>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15AA2"/>
    <w:rsid w:val="00847044"/>
    <w:rsid w:val="008554B7"/>
    <w:rsid w:val="00866FC5"/>
    <w:rsid w:val="00880064"/>
    <w:rsid w:val="008826B0"/>
    <w:rsid w:val="00882FC8"/>
    <w:rsid w:val="00896EB6"/>
    <w:rsid w:val="00897CAE"/>
    <w:rsid w:val="008A20BB"/>
    <w:rsid w:val="008A5149"/>
    <w:rsid w:val="008B3A61"/>
    <w:rsid w:val="008B60E9"/>
    <w:rsid w:val="008C04F4"/>
    <w:rsid w:val="008C379D"/>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0B96"/>
    <w:rsid w:val="00A146C1"/>
    <w:rsid w:val="00A16864"/>
    <w:rsid w:val="00A2739E"/>
    <w:rsid w:val="00A35103"/>
    <w:rsid w:val="00A4438C"/>
    <w:rsid w:val="00A63E97"/>
    <w:rsid w:val="00A7017F"/>
    <w:rsid w:val="00A749C6"/>
    <w:rsid w:val="00A74F93"/>
    <w:rsid w:val="00A81938"/>
    <w:rsid w:val="00A863B1"/>
    <w:rsid w:val="00AA5C02"/>
    <w:rsid w:val="00AB233D"/>
    <w:rsid w:val="00AB3D4F"/>
    <w:rsid w:val="00AC622A"/>
    <w:rsid w:val="00AD5731"/>
    <w:rsid w:val="00AE20BF"/>
    <w:rsid w:val="00B03A61"/>
    <w:rsid w:val="00B06D2D"/>
    <w:rsid w:val="00B14DED"/>
    <w:rsid w:val="00B24050"/>
    <w:rsid w:val="00B3556A"/>
    <w:rsid w:val="00B47254"/>
    <w:rsid w:val="00B633FF"/>
    <w:rsid w:val="00B75907"/>
    <w:rsid w:val="00B87395"/>
    <w:rsid w:val="00B947E4"/>
    <w:rsid w:val="00BB08A2"/>
    <w:rsid w:val="00BC2BBF"/>
    <w:rsid w:val="00BC450B"/>
    <w:rsid w:val="00BC664C"/>
    <w:rsid w:val="00BE627B"/>
    <w:rsid w:val="00C128D1"/>
    <w:rsid w:val="00C26C0C"/>
    <w:rsid w:val="00C318F9"/>
    <w:rsid w:val="00C32309"/>
    <w:rsid w:val="00C324C1"/>
    <w:rsid w:val="00C34133"/>
    <w:rsid w:val="00C45186"/>
    <w:rsid w:val="00C72282"/>
    <w:rsid w:val="00C86E91"/>
    <w:rsid w:val="00C874E9"/>
    <w:rsid w:val="00C87C35"/>
    <w:rsid w:val="00C90CA1"/>
    <w:rsid w:val="00C940F3"/>
    <w:rsid w:val="00CA00EE"/>
    <w:rsid w:val="00CA6C3F"/>
    <w:rsid w:val="00CB2076"/>
    <w:rsid w:val="00CB4FEE"/>
    <w:rsid w:val="00CD02F3"/>
    <w:rsid w:val="00CD2908"/>
    <w:rsid w:val="00CD4255"/>
    <w:rsid w:val="00CD532E"/>
    <w:rsid w:val="00CE75EF"/>
    <w:rsid w:val="00CF1255"/>
    <w:rsid w:val="00CF6789"/>
    <w:rsid w:val="00D0689F"/>
    <w:rsid w:val="00D10B68"/>
    <w:rsid w:val="00D35B00"/>
    <w:rsid w:val="00D378F4"/>
    <w:rsid w:val="00D403D5"/>
    <w:rsid w:val="00D4141A"/>
    <w:rsid w:val="00D4273C"/>
    <w:rsid w:val="00D4637C"/>
    <w:rsid w:val="00D57072"/>
    <w:rsid w:val="00D63113"/>
    <w:rsid w:val="00D72B4C"/>
    <w:rsid w:val="00D82B82"/>
    <w:rsid w:val="00D830C7"/>
    <w:rsid w:val="00D84785"/>
    <w:rsid w:val="00DA163E"/>
    <w:rsid w:val="00DA216E"/>
    <w:rsid w:val="00DA4758"/>
    <w:rsid w:val="00DA53F1"/>
    <w:rsid w:val="00DA5556"/>
    <w:rsid w:val="00DB110F"/>
    <w:rsid w:val="00DB26D3"/>
    <w:rsid w:val="00DB6331"/>
    <w:rsid w:val="00DB7D35"/>
    <w:rsid w:val="00DC587F"/>
    <w:rsid w:val="00DC6146"/>
    <w:rsid w:val="00DE25BF"/>
    <w:rsid w:val="00DE26B3"/>
    <w:rsid w:val="00DE4F8C"/>
    <w:rsid w:val="00DF5FC3"/>
    <w:rsid w:val="00E00798"/>
    <w:rsid w:val="00E352EC"/>
    <w:rsid w:val="00E40157"/>
    <w:rsid w:val="00E45085"/>
    <w:rsid w:val="00E46FE3"/>
    <w:rsid w:val="00E5441E"/>
    <w:rsid w:val="00E632F8"/>
    <w:rsid w:val="00E75851"/>
    <w:rsid w:val="00E83DD9"/>
    <w:rsid w:val="00E86442"/>
    <w:rsid w:val="00E86A14"/>
    <w:rsid w:val="00E943EC"/>
    <w:rsid w:val="00EA2209"/>
    <w:rsid w:val="00EA359B"/>
    <w:rsid w:val="00EB71D4"/>
    <w:rsid w:val="00EB7259"/>
    <w:rsid w:val="00EC77D6"/>
    <w:rsid w:val="00ED0A64"/>
    <w:rsid w:val="00EE2F9C"/>
    <w:rsid w:val="00EE4E23"/>
    <w:rsid w:val="00EF5DA5"/>
    <w:rsid w:val="00F15A75"/>
    <w:rsid w:val="00F36D06"/>
    <w:rsid w:val="00F374A9"/>
    <w:rsid w:val="00F74B66"/>
    <w:rsid w:val="00F827C0"/>
    <w:rsid w:val="00F82F18"/>
    <w:rsid w:val="00F87540"/>
    <w:rsid w:val="00FA03D0"/>
    <w:rsid w:val="00FB7815"/>
    <w:rsid w:val="00FC1E1C"/>
    <w:rsid w:val="00FD0439"/>
    <w:rsid w:val="00FD74BD"/>
    <w:rsid w:val="011937D7"/>
    <w:rsid w:val="013D6ECC"/>
    <w:rsid w:val="01432AB8"/>
    <w:rsid w:val="01481841"/>
    <w:rsid w:val="015F4817"/>
    <w:rsid w:val="021D673F"/>
    <w:rsid w:val="02376007"/>
    <w:rsid w:val="02406861"/>
    <w:rsid w:val="02857679"/>
    <w:rsid w:val="02E13061"/>
    <w:rsid w:val="03FB03BA"/>
    <w:rsid w:val="05137986"/>
    <w:rsid w:val="05433EB4"/>
    <w:rsid w:val="05EA06E6"/>
    <w:rsid w:val="066A3568"/>
    <w:rsid w:val="06C13B3D"/>
    <w:rsid w:val="074F1C14"/>
    <w:rsid w:val="079E5C2C"/>
    <w:rsid w:val="08395955"/>
    <w:rsid w:val="08602EE2"/>
    <w:rsid w:val="08D12032"/>
    <w:rsid w:val="09016473"/>
    <w:rsid w:val="09BC683E"/>
    <w:rsid w:val="0A870BFA"/>
    <w:rsid w:val="0B130746"/>
    <w:rsid w:val="0B3D40F9"/>
    <w:rsid w:val="0B8B64C8"/>
    <w:rsid w:val="0B995089"/>
    <w:rsid w:val="0BB16C0D"/>
    <w:rsid w:val="0C9D4705"/>
    <w:rsid w:val="0CE51C08"/>
    <w:rsid w:val="0CEF15F2"/>
    <w:rsid w:val="0D35493D"/>
    <w:rsid w:val="0D9308B1"/>
    <w:rsid w:val="0DD203DE"/>
    <w:rsid w:val="0E2350DD"/>
    <w:rsid w:val="0E655FF4"/>
    <w:rsid w:val="0EF5494D"/>
    <w:rsid w:val="0F6E2388"/>
    <w:rsid w:val="0F9B0CA3"/>
    <w:rsid w:val="108654B0"/>
    <w:rsid w:val="10A818CA"/>
    <w:rsid w:val="11586E4C"/>
    <w:rsid w:val="11F254F3"/>
    <w:rsid w:val="125F420A"/>
    <w:rsid w:val="12E60488"/>
    <w:rsid w:val="132A0CBC"/>
    <w:rsid w:val="133A194D"/>
    <w:rsid w:val="141573DC"/>
    <w:rsid w:val="144162BD"/>
    <w:rsid w:val="14BA7E1E"/>
    <w:rsid w:val="14CF1941"/>
    <w:rsid w:val="15CC7E09"/>
    <w:rsid w:val="15E83C6C"/>
    <w:rsid w:val="1606156C"/>
    <w:rsid w:val="166E7112"/>
    <w:rsid w:val="16FE2244"/>
    <w:rsid w:val="173043C7"/>
    <w:rsid w:val="177E5132"/>
    <w:rsid w:val="17A003D1"/>
    <w:rsid w:val="17E011EC"/>
    <w:rsid w:val="1AA2738A"/>
    <w:rsid w:val="1B2C6EFE"/>
    <w:rsid w:val="1B656384"/>
    <w:rsid w:val="1BBB0703"/>
    <w:rsid w:val="1C0320AA"/>
    <w:rsid w:val="1C146065"/>
    <w:rsid w:val="1CAE286A"/>
    <w:rsid w:val="1D552DD9"/>
    <w:rsid w:val="1D8954D8"/>
    <w:rsid w:val="1E3A3EC7"/>
    <w:rsid w:val="1EA731C1"/>
    <w:rsid w:val="20250841"/>
    <w:rsid w:val="20407429"/>
    <w:rsid w:val="20651585"/>
    <w:rsid w:val="216B588D"/>
    <w:rsid w:val="231057D9"/>
    <w:rsid w:val="23CC01E6"/>
    <w:rsid w:val="25C7716E"/>
    <w:rsid w:val="26523E0B"/>
    <w:rsid w:val="26783342"/>
    <w:rsid w:val="270C62B7"/>
    <w:rsid w:val="27A97FAA"/>
    <w:rsid w:val="27E64D5A"/>
    <w:rsid w:val="281A2C55"/>
    <w:rsid w:val="282D0A05"/>
    <w:rsid w:val="28757E8C"/>
    <w:rsid w:val="287610F2"/>
    <w:rsid w:val="28F33BD2"/>
    <w:rsid w:val="29AF561F"/>
    <w:rsid w:val="2A5A1A2F"/>
    <w:rsid w:val="2B2142FB"/>
    <w:rsid w:val="2BF33EE9"/>
    <w:rsid w:val="2C1A1476"/>
    <w:rsid w:val="2CB64ED7"/>
    <w:rsid w:val="2CCB2770"/>
    <w:rsid w:val="2CCE2260"/>
    <w:rsid w:val="2CF77A09"/>
    <w:rsid w:val="2E725599"/>
    <w:rsid w:val="2E801281"/>
    <w:rsid w:val="2E913546"/>
    <w:rsid w:val="2E9B6172"/>
    <w:rsid w:val="2F1033AF"/>
    <w:rsid w:val="2F1523C9"/>
    <w:rsid w:val="2F230642"/>
    <w:rsid w:val="2F560A17"/>
    <w:rsid w:val="2F5678E2"/>
    <w:rsid w:val="2F7075FF"/>
    <w:rsid w:val="304545E8"/>
    <w:rsid w:val="3062163D"/>
    <w:rsid w:val="312406A1"/>
    <w:rsid w:val="31F14A27"/>
    <w:rsid w:val="32322F02"/>
    <w:rsid w:val="326E6078"/>
    <w:rsid w:val="327949DB"/>
    <w:rsid w:val="336B25B7"/>
    <w:rsid w:val="339733AC"/>
    <w:rsid w:val="34871673"/>
    <w:rsid w:val="34C226AB"/>
    <w:rsid w:val="359240D7"/>
    <w:rsid w:val="35A47211"/>
    <w:rsid w:val="35C67F79"/>
    <w:rsid w:val="36433DB0"/>
    <w:rsid w:val="36F37429"/>
    <w:rsid w:val="37697448"/>
    <w:rsid w:val="37916477"/>
    <w:rsid w:val="37C14E9C"/>
    <w:rsid w:val="37CC5FFF"/>
    <w:rsid w:val="380302ED"/>
    <w:rsid w:val="385C11FC"/>
    <w:rsid w:val="38877E93"/>
    <w:rsid w:val="38BD1B07"/>
    <w:rsid w:val="39893631"/>
    <w:rsid w:val="39EC3D26"/>
    <w:rsid w:val="3B200C2B"/>
    <w:rsid w:val="3BB30F9F"/>
    <w:rsid w:val="3D0221DE"/>
    <w:rsid w:val="3D580050"/>
    <w:rsid w:val="3D820D35"/>
    <w:rsid w:val="3DF6314E"/>
    <w:rsid w:val="3ED100BA"/>
    <w:rsid w:val="3EEF0E02"/>
    <w:rsid w:val="3F7505F7"/>
    <w:rsid w:val="3F7647BE"/>
    <w:rsid w:val="3FE71217"/>
    <w:rsid w:val="40324B88"/>
    <w:rsid w:val="403501D5"/>
    <w:rsid w:val="41176CA6"/>
    <w:rsid w:val="41487A27"/>
    <w:rsid w:val="414A7CB0"/>
    <w:rsid w:val="41652D3C"/>
    <w:rsid w:val="421F113C"/>
    <w:rsid w:val="422717EC"/>
    <w:rsid w:val="43CC0E50"/>
    <w:rsid w:val="44E92939"/>
    <w:rsid w:val="45A2455E"/>
    <w:rsid w:val="45AF4585"/>
    <w:rsid w:val="45B32B96"/>
    <w:rsid w:val="462A6302"/>
    <w:rsid w:val="463D7DE3"/>
    <w:rsid w:val="463F587B"/>
    <w:rsid w:val="47176106"/>
    <w:rsid w:val="48013092"/>
    <w:rsid w:val="48A451D7"/>
    <w:rsid w:val="49172B6D"/>
    <w:rsid w:val="49880984"/>
    <w:rsid w:val="4ABD5996"/>
    <w:rsid w:val="4B3B22B5"/>
    <w:rsid w:val="4B5A49AF"/>
    <w:rsid w:val="4C820C46"/>
    <w:rsid w:val="4CA75908"/>
    <w:rsid w:val="4CE26CE5"/>
    <w:rsid w:val="4D2E2B7B"/>
    <w:rsid w:val="4E3A10AC"/>
    <w:rsid w:val="4E4C249D"/>
    <w:rsid w:val="4E7445BE"/>
    <w:rsid w:val="4F277882"/>
    <w:rsid w:val="50A56CB1"/>
    <w:rsid w:val="50C559D1"/>
    <w:rsid w:val="513070BA"/>
    <w:rsid w:val="51616E44"/>
    <w:rsid w:val="52CD24EF"/>
    <w:rsid w:val="54CC5154"/>
    <w:rsid w:val="54D538DD"/>
    <w:rsid w:val="54ED0C26"/>
    <w:rsid w:val="554F7B33"/>
    <w:rsid w:val="555B5CD3"/>
    <w:rsid w:val="55774382"/>
    <w:rsid w:val="559B2D78"/>
    <w:rsid w:val="55C83C74"/>
    <w:rsid w:val="566B44F9"/>
    <w:rsid w:val="56E46059"/>
    <w:rsid w:val="570A5ABF"/>
    <w:rsid w:val="573B036F"/>
    <w:rsid w:val="584B2834"/>
    <w:rsid w:val="58AE4B70"/>
    <w:rsid w:val="58DE3CD2"/>
    <w:rsid w:val="58ED5699"/>
    <w:rsid w:val="59202368"/>
    <w:rsid w:val="594E1447"/>
    <w:rsid w:val="59CC2ED5"/>
    <w:rsid w:val="5A405C9C"/>
    <w:rsid w:val="5A407A4A"/>
    <w:rsid w:val="5A5A0B0C"/>
    <w:rsid w:val="5A9F79EB"/>
    <w:rsid w:val="5B920779"/>
    <w:rsid w:val="5C0C052C"/>
    <w:rsid w:val="5C381321"/>
    <w:rsid w:val="5C473312"/>
    <w:rsid w:val="5C675762"/>
    <w:rsid w:val="5DA730B3"/>
    <w:rsid w:val="5DBE5856"/>
    <w:rsid w:val="5DE66B5A"/>
    <w:rsid w:val="5DF73A74"/>
    <w:rsid w:val="5F182D44"/>
    <w:rsid w:val="5F6366B5"/>
    <w:rsid w:val="5FCC685A"/>
    <w:rsid w:val="612B3202"/>
    <w:rsid w:val="61906580"/>
    <w:rsid w:val="62092E18"/>
    <w:rsid w:val="62184018"/>
    <w:rsid w:val="62964807"/>
    <w:rsid w:val="63332842"/>
    <w:rsid w:val="636D5D54"/>
    <w:rsid w:val="63BC45E5"/>
    <w:rsid w:val="63F0428F"/>
    <w:rsid w:val="63FA4E6D"/>
    <w:rsid w:val="64095351"/>
    <w:rsid w:val="646A5DEF"/>
    <w:rsid w:val="64ED07CF"/>
    <w:rsid w:val="65006754"/>
    <w:rsid w:val="657D7D46"/>
    <w:rsid w:val="6635242D"/>
    <w:rsid w:val="66417871"/>
    <w:rsid w:val="66507267"/>
    <w:rsid w:val="667E2026"/>
    <w:rsid w:val="66B35E83"/>
    <w:rsid w:val="67B21438"/>
    <w:rsid w:val="67C47F0C"/>
    <w:rsid w:val="68226102"/>
    <w:rsid w:val="68324E76"/>
    <w:rsid w:val="685E5C6B"/>
    <w:rsid w:val="68AA5354"/>
    <w:rsid w:val="694D1C85"/>
    <w:rsid w:val="6A45604E"/>
    <w:rsid w:val="6AE461D0"/>
    <w:rsid w:val="6B8A6D77"/>
    <w:rsid w:val="6BF608B1"/>
    <w:rsid w:val="6C093ADB"/>
    <w:rsid w:val="6C353187"/>
    <w:rsid w:val="6D0B213A"/>
    <w:rsid w:val="6E26547D"/>
    <w:rsid w:val="6E7F2DDF"/>
    <w:rsid w:val="6E8E6B7E"/>
    <w:rsid w:val="6EFE7118"/>
    <w:rsid w:val="6FDB4045"/>
    <w:rsid w:val="707D334E"/>
    <w:rsid w:val="719E532A"/>
    <w:rsid w:val="71A1505D"/>
    <w:rsid w:val="71A31C23"/>
    <w:rsid w:val="71AC3EEB"/>
    <w:rsid w:val="721C22C2"/>
    <w:rsid w:val="72677E12"/>
    <w:rsid w:val="72A96873"/>
    <w:rsid w:val="72DB435C"/>
    <w:rsid w:val="73221F8B"/>
    <w:rsid w:val="73267CCD"/>
    <w:rsid w:val="73BC23E0"/>
    <w:rsid w:val="7447614D"/>
    <w:rsid w:val="750C6A4F"/>
    <w:rsid w:val="755155B5"/>
    <w:rsid w:val="763B583E"/>
    <w:rsid w:val="764C17F9"/>
    <w:rsid w:val="766A25B4"/>
    <w:rsid w:val="78112CFA"/>
    <w:rsid w:val="78994A9D"/>
    <w:rsid w:val="790A14F7"/>
    <w:rsid w:val="79C54F5A"/>
    <w:rsid w:val="79C63670"/>
    <w:rsid w:val="7A401675"/>
    <w:rsid w:val="7B2C39A7"/>
    <w:rsid w:val="7B6E5D6D"/>
    <w:rsid w:val="7D366D5F"/>
    <w:rsid w:val="7D637428"/>
    <w:rsid w:val="7E0D3F64"/>
    <w:rsid w:val="7E587121"/>
    <w:rsid w:val="7EC56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2"/>
    <w:basedOn w:val="1"/>
    <w:next w:val="1"/>
    <w:qFormat/>
    <w:uiPriority w:val="0"/>
    <w:pPr>
      <w:keepNext/>
      <w:keepLines/>
      <w:spacing w:before="0" w:beforeLines="0" w:line="600" w:lineRule="exact"/>
      <w:ind w:left="0" w:right="0" w:firstLine="0" w:firstLineChars="0"/>
      <w:jc w:val="left"/>
      <w:outlineLvl w:val="1"/>
    </w:pPr>
    <w:rPr>
      <w:b/>
      <w:sz w:val="32"/>
      <w:szCs w:val="32"/>
    </w:rPr>
  </w:style>
  <w:style w:type="paragraph" w:styleId="3">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6"/>
    <w:semiHidden/>
    <w:unhideWhenUsed/>
    <w:qFormat/>
    <w:uiPriority w:val="99"/>
    <w:pPr>
      <w:jc w:val="left"/>
    </w:pPr>
  </w:style>
  <w:style w:type="paragraph" w:styleId="5">
    <w:name w:val="Body Text"/>
    <w:basedOn w:val="1"/>
    <w:link w:val="34"/>
    <w:semiHidden/>
    <w:unhideWhenUsed/>
    <w:qFormat/>
    <w:uiPriority w:val="99"/>
    <w:pPr>
      <w:spacing w:after="120"/>
    </w:pPr>
  </w:style>
  <w:style w:type="paragraph" w:styleId="6">
    <w:name w:val="Body Text Indent"/>
    <w:basedOn w:val="5"/>
    <w:link w:val="32"/>
    <w:unhideWhenUsed/>
    <w:qFormat/>
    <w:uiPriority w:val="99"/>
    <w:pPr>
      <w:ind w:left="420" w:leftChars="200"/>
    </w:pPr>
  </w:style>
  <w:style w:type="paragraph" w:styleId="7">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8">
    <w:name w:val="Plain Text"/>
    <w:basedOn w:val="1"/>
    <w:link w:val="19"/>
    <w:qFormat/>
    <w:uiPriority w:val="0"/>
    <w:rPr>
      <w:rFonts w:ascii="宋体" w:hAnsi="Courier New" w:eastAsia="宋体" w:cstheme="minorBidi"/>
      <w:sz w:val="21"/>
      <w:szCs w:val="22"/>
    </w:rPr>
  </w:style>
  <w:style w:type="paragraph" w:styleId="9">
    <w:name w:val="Balloon Text"/>
    <w:basedOn w:val="1"/>
    <w:link w:val="30"/>
    <w:semiHidden/>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after="150"/>
      <w:jc w:val="left"/>
    </w:pPr>
    <w:rPr>
      <w:rFonts w:ascii="宋体" w:hAnsi="宋体" w:eastAsia="宋体" w:cs="宋体"/>
      <w:kern w:val="0"/>
      <w:sz w:val="24"/>
      <w:szCs w:val="24"/>
    </w:rPr>
  </w:style>
  <w:style w:type="paragraph" w:styleId="13">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4">
    <w:name w:val="Body Text First Indent 2"/>
    <w:basedOn w:val="6"/>
    <w:link w:val="33"/>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annotation reference"/>
    <w:basedOn w:val="17"/>
    <w:qFormat/>
    <w:uiPriority w:val="0"/>
    <w:rPr>
      <w:sz w:val="21"/>
      <w:szCs w:val="21"/>
    </w:rPr>
  </w:style>
  <w:style w:type="character" w:customStyle="1" w:styleId="19">
    <w:name w:val="纯文本 Char"/>
    <w:link w:val="8"/>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Char"/>
    <w:basedOn w:val="17"/>
    <w:link w:val="11"/>
    <w:qFormat/>
    <w:uiPriority w:val="99"/>
    <w:rPr>
      <w:rFonts w:ascii="Times New Roman" w:hAnsi="Times New Roman" w:eastAsia="仿宋_GB2312" w:cs="Times New Roman"/>
      <w:sz w:val="18"/>
      <w:szCs w:val="18"/>
    </w:rPr>
  </w:style>
  <w:style w:type="character" w:customStyle="1" w:styleId="23">
    <w:name w:val="页脚 Char"/>
    <w:basedOn w:val="17"/>
    <w:link w:val="10"/>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出段落 Char"/>
    <w:link w:val="24"/>
    <w:qFormat/>
    <w:uiPriority w:val="34"/>
    <w:rPr>
      <w:rFonts w:ascii="Calibri" w:hAnsi="Calibri" w:eastAsia="宋体" w:cs="Times New Roman"/>
    </w:rPr>
  </w:style>
  <w:style w:type="paragraph" w:customStyle="1" w:styleId="26">
    <w:name w:val="样式 标题 3H3l3CT标题222Bold Headbhlevel_3PIM 3Level 3 Heads..."/>
    <w:basedOn w:val="3"/>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Char"/>
    <w:basedOn w:val="17"/>
    <w:link w:val="13"/>
    <w:qFormat/>
    <w:uiPriority w:val="0"/>
    <w:rPr>
      <w:rFonts w:ascii="Cambria" w:hAnsi="Cambria" w:eastAsia="宋体" w:cs="Times New Roman"/>
      <w:b/>
      <w:bCs/>
      <w:sz w:val="32"/>
      <w:szCs w:val="32"/>
    </w:rPr>
  </w:style>
  <w:style w:type="character" w:customStyle="1" w:styleId="29">
    <w:name w:val="标题 3 Char"/>
    <w:basedOn w:val="17"/>
    <w:link w:val="3"/>
    <w:semiHidden/>
    <w:qFormat/>
    <w:uiPriority w:val="9"/>
    <w:rPr>
      <w:rFonts w:ascii="Times New Roman" w:hAnsi="Times New Roman" w:eastAsia="仿宋_GB2312" w:cs="Times New Roman"/>
      <w:b/>
      <w:bCs/>
      <w:sz w:val="32"/>
      <w:szCs w:val="32"/>
    </w:rPr>
  </w:style>
  <w:style w:type="character" w:customStyle="1" w:styleId="30">
    <w:name w:val="批注框文本 Char"/>
    <w:basedOn w:val="17"/>
    <w:link w:val="9"/>
    <w:semiHidden/>
    <w:qFormat/>
    <w:uiPriority w:val="99"/>
    <w:rPr>
      <w:rFonts w:ascii="Times New Roman" w:hAnsi="Times New Roman" w:eastAsia="仿宋_GB2312" w:cs="Times New Roman"/>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Char"/>
    <w:basedOn w:val="17"/>
    <w:link w:val="6"/>
    <w:qFormat/>
    <w:uiPriority w:val="99"/>
    <w:rPr>
      <w:rFonts w:ascii="Times New Roman" w:hAnsi="Times New Roman" w:eastAsia="仿宋_GB2312" w:cs="Times New Roman"/>
      <w:sz w:val="30"/>
      <w:szCs w:val="20"/>
    </w:rPr>
  </w:style>
  <w:style w:type="character" w:customStyle="1" w:styleId="33">
    <w:name w:val="正文首行缩进 2 Char"/>
    <w:basedOn w:val="32"/>
    <w:link w:val="14"/>
    <w:qFormat/>
    <w:uiPriority w:val="0"/>
    <w:rPr>
      <w:rFonts w:ascii="仿宋_GB2312" w:hAnsi="Times New Roman" w:eastAsia="仿宋_GB2312" w:cs="Times New Roman"/>
      <w:kern w:val="0"/>
      <w:sz w:val="28"/>
      <w:szCs w:val="20"/>
    </w:rPr>
  </w:style>
  <w:style w:type="character" w:customStyle="1" w:styleId="34">
    <w:name w:val="正文文本 Char"/>
    <w:basedOn w:val="17"/>
    <w:link w:val="5"/>
    <w:semiHidden/>
    <w:qFormat/>
    <w:uiPriority w:val="99"/>
    <w:rPr>
      <w:rFonts w:ascii="Times New Roman" w:hAnsi="Times New Roman" w:eastAsia="仿宋_GB2312" w:cs="Times New Roman"/>
      <w:sz w:val="30"/>
      <w:szCs w:val="20"/>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批注文字 Char"/>
    <w:basedOn w:val="17"/>
    <w:link w:val="4"/>
    <w:semiHidden/>
    <w:qFormat/>
    <w:uiPriority w:val="99"/>
    <w:rPr>
      <w:rFonts w:ascii="Times New Roman" w:hAnsi="Times New Roman" w:eastAsia="仿宋_GB2312" w:cs="Times New Roman"/>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1331</Words>
  <Characters>1447</Characters>
  <Lines>55</Lines>
  <Paragraphs>15</Paragraphs>
  <TotalTime>4</TotalTime>
  <ScaleCrop>false</ScaleCrop>
  <LinksUpToDate>false</LinksUpToDate>
  <CharactersWithSpaces>1456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2024-11-29T03:13:00Z</dcterms:created>
  <dc:creator>admin</dc:creator>
  <cp:lastModifiedBy>朱</cp:lastModifiedBy>
  <cp:lastPrinted>2025-06-23T07:16:00Z</cp:lastPrinted>
  <dcterms:modified xsi:type="dcterms:W3CDTF">2025-07-07T01:12:09Z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C99CAD7B791B4765A1945212B4B4EC4D_13</vt:lpwstr>
  </property>
  <property fmtid="{D5CDD505-2E9C-101B-9397-08002B2CF9AE}" pid="4" name="KSOTemplateDocerSaveRecord">
    <vt:lpwstr>eyJoZGlkIjoiYTkzZGJmNWVjODY5NzZjMWJlMmE1ZjY1MzVmNzA0MGMiLCJ1c2VySWQiOiIzNjQ2ODU4NzgifQ==</vt:lpwstr>
  </property>
</Properties>
</file>