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A0D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sz w:val="40"/>
          <w:szCs w:val="40"/>
          <w:lang w:val="en-US" w:eastAsia="zh-CN"/>
        </w:rPr>
      </w:pPr>
      <w:bookmarkStart w:id="0" w:name="_Toc12355_WPSOffice_Level1"/>
      <w:r>
        <w:rPr>
          <w:rFonts w:hint="eastAsia" w:ascii="宋体" w:hAnsi="宋体" w:eastAsia="宋体" w:cs="Times New Roman"/>
          <w:b/>
          <w:sz w:val="40"/>
          <w:szCs w:val="40"/>
          <w:lang w:val="en-US" w:eastAsia="zh-CN"/>
        </w:rPr>
        <w:t>江门市技师学院</w:t>
      </w:r>
    </w:p>
    <w:p w14:paraId="5834E3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sz w:val="40"/>
          <w:szCs w:val="40"/>
          <w:lang w:val="en-US" w:eastAsia="zh-CN"/>
        </w:rPr>
      </w:pPr>
      <w:r>
        <w:rPr>
          <w:rFonts w:hint="eastAsia" w:ascii="宋体" w:hAnsi="宋体" w:eastAsia="宋体" w:cs="Times New Roman"/>
          <w:b/>
          <w:sz w:val="40"/>
          <w:szCs w:val="40"/>
          <w:lang w:val="en-US" w:eastAsia="zh-CN"/>
        </w:rPr>
        <w:t>机电工程系电气自动化设备安装与维修专业教具</w:t>
      </w:r>
    </w:p>
    <w:p w14:paraId="2EF9A3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sz w:val="40"/>
          <w:szCs w:val="40"/>
          <w:lang w:eastAsia="zh-CN"/>
        </w:rPr>
      </w:pPr>
      <w:r>
        <w:rPr>
          <w:rFonts w:hint="eastAsia" w:ascii="宋体" w:hAnsi="宋体" w:eastAsia="宋体" w:cs="Times New Roman"/>
          <w:b/>
          <w:sz w:val="40"/>
          <w:szCs w:val="40"/>
          <w:lang w:val="en-US" w:eastAsia="zh-CN"/>
        </w:rPr>
        <w:t>购置项目需求书</w:t>
      </w:r>
    </w:p>
    <w:bookmarkEnd w:id="0"/>
    <w:p w14:paraId="52939153">
      <w:pPr>
        <w:spacing w:line="240" w:lineRule="auto"/>
        <w:ind w:firstLine="560" w:firstLineChars="200"/>
        <w:rPr>
          <w:rFonts w:hint="eastAsia" w:cs="宋体" w:asciiTheme="minorEastAsia" w:hAnsiTheme="minorEastAsia" w:eastAsiaTheme="minorEastAsia"/>
          <w:bCs/>
          <w:color w:val="auto"/>
          <w:kern w:val="0"/>
          <w:sz w:val="28"/>
          <w:szCs w:val="28"/>
          <w:highlight w:val="none"/>
          <w:lang w:eastAsia="zh-CN"/>
        </w:rPr>
      </w:pPr>
    </w:p>
    <w:p w14:paraId="5542BA01">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sz w:val="36"/>
          <w:szCs w:val="36"/>
          <w:highlight w:val="none"/>
          <w:lang w:eastAsia="zh-CN"/>
        </w:rPr>
      </w:pPr>
      <w:r>
        <w:rPr>
          <w:rFonts w:hint="eastAsia" w:cs="宋体" w:asciiTheme="minorEastAsia" w:hAnsiTheme="minorEastAsia" w:eastAsiaTheme="minorEastAsia"/>
          <w:b/>
          <w:bCs/>
          <w:sz w:val="36"/>
          <w:szCs w:val="36"/>
          <w:highlight w:val="none"/>
          <w:lang w:val="en-US" w:eastAsia="zh-CN"/>
        </w:rPr>
        <w:t xml:space="preserve"> 商品</w:t>
      </w:r>
      <w:r>
        <w:rPr>
          <w:rFonts w:hint="eastAsia" w:cs="宋体" w:asciiTheme="minorEastAsia" w:hAnsiTheme="minorEastAsia" w:eastAsiaTheme="minorEastAsia"/>
          <w:b/>
          <w:bCs/>
          <w:sz w:val="36"/>
          <w:szCs w:val="36"/>
          <w:highlight w:val="none"/>
          <w:lang w:eastAsia="zh-CN"/>
        </w:rPr>
        <w:t>需求</w:t>
      </w:r>
    </w:p>
    <w:p w14:paraId="66A86FA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cs="宋体" w:asciiTheme="minorEastAsia" w:hAnsiTheme="minorEastAsia" w:eastAsiaTheme="minorEastAsia"/>
          <w:b/>
          <w:bCs/>
          <w:sz w:val="32"/>
          <w:szCs w:val="32"/>
          <w:highlight w:val="none"/>
          <w:lang w:val="en-US" w:eastAsia="zh-CN"/>
        </w:rPr>
      </w:pPr>
      <w:r>
        <w:rPr>
          <w:rFonts w:hint="eastAsia" w:cs="宋体" w:asciiTheme="minorEastAsia" w:hAnsiTheme="minorEastAsia" w:eastAsiaTheme="minorEastAsia"/>
          <w:b/>
          <w:bCs/>
          <w:sz w:val="32"/>
          <w:szCs w:val="32"/>
          <w:highlight w:val="none"/>
          <w:lang w:val="en-US" w:eastAsia="zh-CN"/>
        </w:rPr>
        <w:t>一、物资清单：</w:t>
      </w:r>
    </w:p>
    <w:tbl>
      <w:tblPr>
        <w:tblStyle w:val="13"/>
        <w:tblW w:w="8918" w:type="dxa"/>
        <w:jc w:val="center"/>
        <w:shd w:val="clear" w:color="auto" w:fill="FFFFFF" w:themeFill="background1"/>
        <w:tblLayout w:type="fixed"/>
        <w:tblCellMar>
          <w:top w:w="0" w:type="dxa"/>
          <w:left w:w="108" w:type="dxa"/>
          <w:bottom w:w="0" w:type="dxa"/>
          <w:right w:w="108" w:type="dxa"/>
        </w:tblCellMar>
      </w:tblPr>
      <w:tblGrid>
        <w:gridCol w:w="807"/>
        <w:gridCol w:w="2213"/>
        <w:gridCol w:w="4216"/>
        <w:gridCol w:w="807"/>
        <w:gridCol w:w="875"/>
      </w:tblGrid>
      <w:tr w14:paraId="35917B6B">
        <w:tblPrEx>
          <w:shd w:val="clear" w:color="auto" w:fill="FFFFFF" w:themeFill="background1"/>
          <w:tblCellMar>
            <w:top w:w="0" w:type="dxa"/>
            <w:left w:w="108" w:type="dxa"/>
            <w:bottom w:w="0" w:type="dxa"/>
            <w:right w:w="108" w:type="dxa"/>
          </w:tblCellMar>
        </w:tblPrEx>
        <w:trPr>
          <w:trHeight w:val="529" w:hRule="atLeast"/>
          <w:tblHeader/>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1CD506">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序号</w:t>
            </w: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5F25024C">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物资名称</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29D60383">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品牌、规格型号</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125193A1">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单位</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5E995590">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数量</w:t>
            </w:r>
          </w:p>
        </w:tc>
      </w:tr>
      <w:tr w14:paraId="71A5EB33">
        <w:tblPrEx>
          <w:tblCellMar>
            <w:top w:w="0" w:type="dxa"/>
            <w:left w:w="108" w:type="dxa"/>
            <w:bottom w:w="0" w:type="dxa"/>
            <w:right w:w="108" w:type="dxa"/>
          </w:tblCellMar>
        </w:tblPrEx>
        <w:trPr>
          <w:cantSplit/>
          <w:trHeight w:val="595" w:hRule="atLeast"/>
          <w:jc w:val="center"/>
        </w:trPr>
        <w:tc>
          <w:tcPr>
            <w:tcW w:w="807" w:type="dxa"/>
            <w:tcBorders>
              <w:top w:val="nil"/>
              <w:left w:val="single" w:color="auto" w:sz="4" w:space="0"/>
              <w:bottom w:val="single" w:color="auto" w:sz="4" w:space="0"/>
              <w:right w:val="single" w:color="auto" w:sz="4" w:space="0"/>
            </w:tcBorders>
            <w:shd w:val="clear" w:color="auto" w:fill="FFFFFF" w:themeFill="background1"/>
            <w:noWrap/>
            <w:vAlign w:val="center"/>
          </w:tcPr>
          <w:p w14:paraId="29389755">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nil"/>
              <w:left w:val="nil"/>
              <w:bottom w:val="single" w:color="auto" w:sz="4" w:space="0"/>
              <w:right w:val="single" w:color="auto" w:sz="4" w:space="0"/>
            </w:tcBorders>
            <w:shd w:val="clear" w:color="auto" w:fill="FFFFFF" w:themeFill="background1"/>
            <w:noWrap/>
            <w:vAlign w:val="center"/>
          </w:tcPr>
          <w:p w14:paraId="7B125B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定制液体搅拌机教具机架</w:t>
            </w:r>
          </w:p>
        </w:tc>
        <w:tc>
          <w:tcPr>
            <w:tcW w:w="4216" w:type="dxa"/>
            <w:tcBorders>
              <w:top w:val="nil"/>
              <w:left w:val="nil"/>
              <w:bottom w:val="single" w:color="auto" w:sz="4" w:space="0"/>
              <w:right w:val="single" w:color="auto" w:sz="4" w:space="0"/>
            </w:tcBorders>
            <w:shd w:val="clear" w:color="auto" w:fill="FFFFFF" w:themeFill="background1"/>
            <w:noWrap/>
            <w:vAlign w:val="center"/>
          </w:tcPr>
          <w:p w14:paraId="735BA2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定制液体搅拌机机架，</w:t>
            </w:r>
          </w:p>
          <w:p w14:paraId="0A3D58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长0.4M *宽0.44M *高1.2M</w:t>
            </w:r>
          </w:p>
        </w:tc>
        <w:tc>
          <w:tcPr>
            <w:tcW w:w="807" w:type="dxa"/>
            <w:tcBorders>
              <w:top w:val="nil"/>
              <w:left w:val="nil"/>
              <w:bottom w:val="single" w:color="auto" w:sz="4" w:space="0"/>
              <w:right w:val="single" w:color="auto" w:sz="4" w:space="0"/>
            </w:tcBorders>
            <w:shd w:val="clear" w:color="auto" w:fill="FFFFFF" w:themeFill="background1"/>
            <w:noWrap/>
            <w:vAlign w:val="center"/>
          </w:tcPr>
          <w:p w14:paraId="6E7BC35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875" w:type="dxa"/>
            <w:tcBorders>
              <w:top w:val="nil"/>
              <w:left w:val="nil"/>
              <w:bottom w:val="single" w:color="auto" w:sz="4" w:space="0"/>
              <w:right w:val="single" w:color="auto" w:sz="4" w:space="0"/>
            </w:tcBorders>
            <w:shd w:val="clear" w:color="auto" w:fill="FFFFFF" w:themeFill="background1"/>
            <w:noWrap/>
            <w:vAlign w:val="center"/>
          </w:tcPr>
          <w:p w14:paraId="1D0296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14:paraId="66CAA710">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280B7E">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0A4DA1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抽水泵水泵</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5F48556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水泵（DC24V）</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75007B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2E8425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r>
      <w:tr w14:paraId="67ABF100">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C0D564">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37F0E7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电盒</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455DAD4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一位60高十字锁版（铁）</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0178436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505C3F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14:paraId="62193E4C">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BC615B">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523AA3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按钮</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493DFE8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三位按钮控制盒</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68EE16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5B0CA4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14:paraId="646521BA">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5C8D26">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07975B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指示灯</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51BF71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三色设备指示灯</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1C89B7A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盏</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0E2C91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14:paraId="291C9647">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42E8D7">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2272CC0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感应器</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65B31B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液位传感器：XKC-Y25-NPN-24V,1米线</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585FB4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3AA03A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r>
      <w:tr w14:paraId="49B2FE48">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E0379C">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23D59C4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搅拌电机</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54D8A0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搅拌电机+110MM搅拌杆</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1592AA3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台</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3697E3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14:paraId="101814D9">
        <w:tblPrEx>
          <w:tblCellMar>
            <w:top w:w="0" w:type="dxa"/>
            <w:left w:w="108" w:type="dxa"/>
            <w:bottom w:w="0" w:type="dxa"/>
            <w:right w:w="108" w:type="dxa"/>
          </w:tblCellMar>
        </w:tblPrEx>
        <w:trPr>
          <w:cantSplit/>
          <w:trHeight w:val="595"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C52C4A">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01D0B8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接线端子</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4DDA99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快接端子排                               （橘色、蓝色各10个）</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0DC625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块</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2B08A0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200</w:t>
            </w:r>
          </w:p>
        </w:tc>
      </w:tr>
      <w:tr w14:paraId="5A067A23">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681350">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43696D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端子固定位</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6386B8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端子排固定件</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35AB6CA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块</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0A83842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40</w:t>
            </w:r>
          </w:p>
        </w:tc>
      </w:tr>
      <w:tr w14:paraId="4FD428CA">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2F16D3">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6ACDE9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导轨槽</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5299C7E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C45铁导轨10cm</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6C7C17A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条</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62970D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r>
      <w:tr w14:paraId="2C5F2F58">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A3B535">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238907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电线</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4B50BC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单股0.3平方电线（红）100米/卷</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282AA35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卷</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6FB1AC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r>
      <w:tr w14:paraId="0498B6BC">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23365F">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2E1B48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电线</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59D724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单股0.3平方电线（蓝）100米/卷</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439C96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卷</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1DC5E5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r>
      <w:tr w14:paraId="1D380AC0">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DB9029">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0A47B0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电线</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18CCA84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单股0.3平方电线（黑）100米/卷</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5F8590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卷</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5E012B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r>
      <w:tr w14:paraId="68A5B161">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5EA6BD">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77227A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线槽</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72AC08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接线槽（25*25）2米/条</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7B87F6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条</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461B52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14:paraId="6984633C">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E647D7">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2DE3B5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计时器</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0637456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磁吸计时器</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3D107A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3460E1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14:paraId="1BB90EEE">
        <w:tblPrEx>
          <w:tblCellMar>
            <w:top w:w="0" w:type="dxa"/>
            <w:left w:w="108" w:type="dxa"/>
            <w:bottom w:w="0" w:type="dxa"/>
            <w:right w:w="108" w:type="dxa"/>
          </w:tblCellMar>
        </w:tblPrEx>
        <w:trPr>
          <w:cantSplit/>
          <w:trHeight w:val="595"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2624C0">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588AFE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故障模拟开关板</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4E1660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PCB水泵接线板，带有传感器和水泵故障设置功能</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57D9BF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块</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07CE56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14:paraId="6EDA0E3A">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6C010F">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lang w:val="en-US" w:eastAsia="zh-CN" w:bidi="ar-SA"/>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78CC17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周转箱</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024335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周转箱（400*300*175）</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28CA63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个 </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496D2A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14:paraId="2EE0BD6C">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794A68">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0F056E6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硅胶水管  </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70A3E4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硅胶水管（内径6mm*外径8mm）5米</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0D3BB9C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条</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2CD6C7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r>
      <w:tr w14:paraId="4F336259">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ADC422">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6E3D6FB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透明胶盘</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329C07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透明30CMX20CMX高15CM</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57EE1D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19E571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14:paraId="6E3524D5">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55C0C5">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7930C75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过滤水嘴</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4C2CA6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不锈钢加重过滤嘴沉头</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1CABAA4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粒</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1CB1F67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r>
      <w:tr w14:paraId="790C7362">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112283">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19A251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水流展示器</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353EBA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宝塔嘴一进一出（接口6mm） 螺纹2分</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06D4E8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5E78AD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r>
      <w:tr w14:paraId="2FCC1B8C">
        <w:tblPrEx>
          <w:tblCellMar>
            <w:top w:w="0" w:type="dxa"/>
            <w:left w:w="108" w:type="dxa"/>
            <w:bottom w:w="0" w:type="dxa"/>
            <w:right w:w="108" w:type="dxa"/>
          </w:tblCellMar>
        </w:tblPrEx>
        <w:trPr>
          <w:cantSplit/>
          <w:trHeight w:val="44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F16486">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34CCC6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水阀开关</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3283983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GH-201 图1</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41EEF1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1BDD89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14:paraId="634D34D5">
        <w:tblPrEx>
          <w:tblCellMar>
            <w:top w:w="0" w:type="dxa"/>
            <w:left w:w="108" w:type="dxa"/>
            <w:bottom w:w="0" w:type="dxa"/>
            <w:right w:w="108" w:type="dxa"/>
          </w:tblCellMar>
        </w:tblPrEx>
        <w:trPr>
          <w:cantSplit/>
          <w:trHeight w:val="605"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009779">
            <w:pPr>
              <w:pStyle w:val="22"/>
              <w:keepNext w:val="0"/>
              <w:keepLines w:val="0"/>
              <w:pageBreakBefore w:val="0"/>
              <w:widowControl/>
              <w:numPr>
                <w:ilvl w:val="0"/>
                <w:numId w:val="2"/>
              </w:numPr>
              <w:kinsoku/>
              <w:wordWrap/>
              <w:overflowPunct/>
              <w:topLinePunct w:val="0"/>
              <w:autoSpaceDE/>
              <w:autoSpaceDN/>
              <w:bidi w:val="0"/>
              <w:adjustRightInd/>
              <w:snapToGrid w:val="0"/>
              <w:ind w:left="-144" w:leftChars="0" w:firstLine="284" w:firstLineChars="0"/>
              <w:jc w:val="center"/>
              <w:rPr>
                <w:rFonts w:hint="eastAsia" w:asciiTheme="minorEastAsia" w:hAnsiTheme="minorEastAsia" w:eastAsiaTheme="minorEastAsia" w:cstheme="minorEastAsia"/>
                <w:kern w:val="0"/>
                <w:sz w:val="28"/>
                <w:szCs w:val="28"/>
                <w:shd w:val="pct10" w:color="auto" w:fill="FFFFFF"/>
              </w:rPr>
            </w:pPr>
          </w:p>
        </w:tc>
        <w:tc>
          <w:tcPr>
            <w:tcW w:w="2213" w:type="dxa"/>
            <w:tcBorders>
              <w:top w:val="single" w:color="auto" w:sz="4" w:space="0"/>
              <w:left w:val="nil"/>
              <w:bottom w:val="single" w:color="auto" w:sz="4" w:space="0"/>
              <w:right w:val="single" w:color="auto" w:sz="4" w:space="0"/>
            </w:tcBorders>
            <w:shd w:val="clear" w:color="auto" w:fill="FFFFFF" w:themeFill="background1"/>
            <w:noWrap/>
            <w:vAlign w:val="center"/>
          </w:tcPr>
          <w:p w14:paraId="6DFF20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电器固定背板</w:t>
            </w:r>
          </w:p>
        </w:tc>
        <w:tc>
          <w:tcPr>
            <w:tcW w:w="4216" w:type="dxa"/>
            <w:tcBorders>
              <w:top w:val="single" w:color="auto" w:sz="4" w:space="0"/>
              <w:left w:val="nil"/>
              <w:bottom w:val="single" w:color="auto" w:sz="4" w:space="0"/>
              <w:right w:val="single" w:color="auto" w:sz="4" w:space="0"/>
            </w:tcBorders>
            <w:shd w:val="clear" w:color="auto" w:fill="FFFFFF" w:themeFill="background1"/>
            <w:noWrap/>
            <w:vAlign w:val="center"/>
          </w:tcPr>
          <w:p w14:paraId="529BDE7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电器固定背板，定制400*600*1，</w:t>
            </w:r>
          </w:p>
          <w:p w14:paraId="5D096C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不锈钢材</w:t>
            </w:r>
          </w:p>
        </w:tc>
        <w:tc>
          <w:tcPr>
            <w:tcW w:w="807" w:type="dxa"/>
            <w:tcBorders>
              <w:top w:val="single" w:color="auto" w:sz="4" w:space="0"/>
              <w:left w:val="nil"/>
              <w:bottom w:val="single" w:color="auto" w:sz="4" w:space="0"/>
              <w:right w:val="single" w:color="auto" w:sz="4" w:space="0"/>
            </w:tcBorders>
            <w:shd w:val="clear" w:color="auto" w:fill="FFFFFF" w:themeFill="background1"/>
            <w:noWrap/>
            <w:vAlign w:val="center"/>
          </w:tcPr>
          <w:p w14:paraId="6D2FD2D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块</w:t>
            </w:r>
          </w:p>
        </w:tc>
        <w:tc>
          <w:tcPr>
            <w:tcW w:w="875" w:type="dxa"/>
            <w:tcBorders>
              <w:top w:val="single" w:color="auto" w:sz="4" w:space="0"/>
              <w:left w:val="nil"/>
              <w:bottom w:val="single" w:color="auto" w:sz="4" w:space="0"/>
              <w:right w:val="single" w:color="auto" w:sz="4" w:space="0"/>
            </w:tcBorders>
            <w:shd w:val="clear" w:color="auto" w:fill="FFFFFF" w:themeFill="background1"/>
            <w:noWrap/>
            <w:vAlign w:val="center"/>
          </w:tcPr>
          <w:p w14:paraId="268E96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color w:val="000000"/>
                <w:kern w:val="2"/>
                <w:sz w:val="28"/>
                <w:szCs w:val="28"/>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bl>
    <w:p w14:paraId="1A83549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cs="宋体" w:asciiTheme="minorEastAsia" w:hAnsiTheme="minorEastAsia" w:eastAsiaTheme="minorEastAsia"/>
          <w:b/>
          <w:bCs/>
          <w:sz w:val="36"/>
          <w:szCs w:val="36"/>
          <w:highlight w:val="none"/>
          <w:lang w:val="en-US" w:eastAsia="zh-CN"/>
        </w:rPr>
      </w:pPr>
    </w:p>
    <w:p w14:paraId="3401DE4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cs="宋体" w:asciiTheme="minorEastAsia" w:hAnsiTheme="minorEastAsia" w:eastAsiaTheme="minorEastAsia"/>
          <w:b/>
          <w:bCs/>
          <w:sz w:val="32"/>
          <w:szCs w:val="32"/>
          <w:highlight w:val="none"/>
          <w:lang w:val="en-US" w:eastAsia="zh-CN"/>
        </w:rPr>
      </w:pPr>
      <w:r>
        <w:rPr>
          <w:rFonts w:hint="eastAsia" w:cs="宋体" w:asciiTheme="minorEastAsia" w:hAnsiTheme="minorEastAsia" w:eastAsiaTheme="minorEastAsia"/>
          <w:b/>
          <w:bCs/>
          <w:sz w:val="32"/>
          <w:szCs w:val="32"/>
          <w:highlight w:val="none"/>
          <w:lang w:val="en-US" w:eastAsia="zh-CN"/>
        </w:rPr>
        <w:t>二、物资第1项定制液体搅拌机教具机架要求及参考图样</w:t>
      </w:r>
    </w:p>
    <w:p w14:paraId="313A0E33">
      <w:pPr>
        <w:keepNext w:val="0"/>
        <w:keepLines w:val="0"/>
        <w:pageBreakBefore w:val="0"/>
        <w:numPr>
          <w:ilvl w:val="0"/>
          <w:numId w:val="3"/>
        </w:numPr>
        <w:kinsoku/>
        <w:wordWrap/>
        <w:overflowPunct/>
        <w:topLinePunct w:val="0"/>
        <w:autoSpaceDE/>
        <w:autoSpaceDN/>
        <w:bidi w:val="0"/>
        <w:adjustRightInd/>
        <w:snapToGrid/>
        <w:spacing w:line="540" w:lineRule="exact"/>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组件材料及要求：三代精益管及接三代精益管接件，板材要求为不锈钢材质，厚度1mm，并按需求中的元件型号尺寸开孔安装（按图样位置）。结构尺寸为：长400mm*宽440mm*高1200mm。</w:t>
      </w:r>
    </w:p>
    <w:p w14:paraId="3E3EB42A">
      <w:pPr>
        <w:keepNext w:val="0"/>
        <w:keepLines w:val="0"/>
        <w:pageBreakBefore w:val="0"/>
        <w:numPr>
          <w:ilvl w:val="0"/>
          <w:numId w:val="3"/>
        </w:numPr>
        <w:kinsoku/>
        <w:wordWrap/>
        <w:overflowPunct/>
        <w:topLinePunct w:val="0"/>
        <w:autoSpaceDE/>
        <w:autoSpaceDN/>
        <w:bidi w:val="0"/>
        <w:adjustRightInd/>
        <w:snapToGrid/>
        <w:spacing w:line="540" w:lineRule="exact"/>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参考图样如下：</w:t>
      </w:r>
    </w:p>
    <w:p w14:paraId="3B49736F">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楷体" w:hAnsi="楷体" w:eastAsia="楷体" w:cs="楷体"/>
          <w:b/>
          <w:bCs/>
          <w:sz w:val="22"/>
          <w:szCs w:val="22"/>
          <w:lang w:val="en-US"/>
        </w:rPr>
      </w:pPr>
      <w:r>
        <w:rPr>
          <w:rFonts w:hint="eastAsia" w:ascii="楷体" w:hAnsi="楷体" w:eastAsia="楷体" w:cs="楷体"/>
          <w:sz w:val="22"/>
          <w:szCs w:val="22"/>
        </w:rPr>
        <w:drawing>
          <wp:anchor distT="0" distB="0" distL="114300" distR="114300" simplePos="0" relativeHeight="251660288" behindDoc="0" locked="0" layoutInCell="1" allowOverlap="1">
            <wp:simplePos x="0" y="0"/>
            <wp:positionH relativeFrom="column">
              <wp:posOffset>2022475</wp:posOffset>
            </wp:positionH>
            <wp:positionV relativeFrom="paragraph">
              <wp:posOffset>76835</wp:posOffset>
            </wp:positionV>
            <wp:extent cx="1871345" cy="2599055"/>
            <wp:effectExtent l="0" t="0" r="14605" b="1079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871345" cy="2599055"/>
                    </a:xfrm>
                    <a:prstGeom prst="rect">
                      <a:avLst/>
                    </a:prstGeom>
                    <a:noFill/>
                    <a:ln>
                      <a:noFill/>
                    </a:ln>
                  </pic:spPr>
                </pic:pic>
              </a:graphicData>
            </a:graphic>
          </wp:anchor>
        </w:drawing>
      </w:r>
      <w:r>
        <w:rPr>
          <w:sz w:val="22"/>
        </w:rPr>
        <w:pict>
          <v:shape id="_x0000_s2051" o:spid="_x0000_s2051" o:spt="202" type="#_x0000_t202" style="position:absolute;left:0pt;margin-left:198.45pt;margin-top:198.45pt;height:144pt;width:144pt;mso-wrap-distance-bottom:0pt;mso-wrap-distance-left:9pt;mso-wrap-distance-right:9pt;mso-wrap-distance-top:0pt;mso-wrap-style:none;z-index:251663360;mso-width-relative:page;mso-height-relative:page;" filled="f" stroked="f" coordsize="21600,21600">
            <v:path/>
            <v:fill on="f" focussize="0,0"/>
            <v:stroke on="f"/>
            <v:imagedata o:title=""/>
            <o:lock v:ext="edit" aspectratio="f"/>
            <v:textbox style="mso-fit-shape-to-text:t;">
              <w:txbxContent>
                <w:p w14:paraId="5D5E5A7A">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楷体" w:hAnsi="楷体" w:eastAsia="楷体" w:cs="楷体"/>
                      <w:b/>
                      <w:bCs/>
                      <w:sz w:val="22"/>
                      <w:szCs w:val="22"/>
                      <w:lang w:val="en-US" w:eastAsia="zh-CN"/>
                    </w:rPr>
                  </w:pPr>
                  <w:r>
                    <w:rPr>
                      <w:rFonts w:hint="eastAsia" w:ascii="楷体" w:hAnsi="楷体" w:eastAsia="楷体" w:cs="楷体"/>
                      <w:b/>
                      <w:bCs/>
                      <w:sz w:val="22"/>
                      <w:szCs w:val="22"/>
                      <w:lang w:val="en-US" w:eastAsia="zh-CN"/>
                    </w:rPr>
                    <w:t>机架正面图</w:t>
                  </w:r>
                </w:p>
              </w:txbxContent>
            </v:textbox>
            <w10:wrap type="square"/>
          </v:shape>
        </w:pict>
      </w:r>
      <w:r>
        <w:rPr>
          <w:sz w:val="22"/>
        </w:rPr>
        <w:pict>
          <v:shape id="_x0000_s2052" o:spid="_x0000_s2052" o:spt="202" type="#_x0000_t202" style="position:absolute;left:0pt;margin-left:53.9pt;margin-top:199.05pt;height:144pt;width:144pt;mso-wrap-distance-bottom:0pt;mso-wrap-distance-left:9pt;mso-wrap-distance-right:9pt;mso-wrap-distance-top:0pt;mso-wrap-style:none;z-index:251664384;mso-width-relative:page;mso-height-relative:page;" filled="f" stroked="f" coordsize="21600,21600">
            <v:path/>
            <v:fill on="f" focussize="0,0"/>
            <v:stroke on="f"/>
            <v:imagedata o:title=""/>
            <o:lock v:ext="edit" aspectratio="f"/>
            <v:textbox style="mso-fit-shape-to-text:t;">
              <w:txbxContent>
                <w:p w14:paraId="3708CBB7">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楷体" w:hAnsi="楷体" w:eastAsia="楷体" w:cs="楷体"/>
                      <w:b/>
                      <w:bCs/>
                      <w:sz w:val="22"/>
                      <w:szCs w:val="22"/>
                      <w:lang w:val="en-US" w:eastAsia="zh-CN"/>
                    </w:rPr>
                  </w:pPr>
                  <w:r>
                    <w:rPr>
                      <w:rFonts w:hint="eastAsia" w:ascii="楷体" w:hAnsi="楷体" w:eastAsia="楷体" w:cs="楷体"/>
                      <w:b/>
                      <w:bCs/>
                      <w:sz w:val="22"/>
                      <w:szCs w:val="22"/>
                      <w:lang w:val="en-US" w:eastAsia="zh-CN"/>
                    </w:rPr>
                    <w:t>机架侧面图</w:t>
                  </w:r>
                </w:p>
              </w:txbxContent>
            </v:textbox>
            <w10:wrap type="square"/>
          </v:shape>
        </w:pict>
      </w:r>
      <w:r>
        <w:rPr>
          <w:rFonts w:hint="eastAsia" w:ascii="楷体" w:hAnsi="楷体" w:eastAsia="楷体" w:cs="楷体"/>
          <w:sz w:val="22"/>
          <w:szCs w:val="22"/>
        </w:rPr>
        <w:drawing>
          <wp:anchor distT="0" distB="0" distL="114300" distR="114300" simplePos="0" relativeHeight="251659264" behindDoc="0" locked="0" layoutInCell="1" allowOverlap="1">
            <wp:simplePos x="0" y="0"/>
            <wp:positionH relativeFrom="column">
              <wp:posOffset>160655</wp:posOffset>
            </wp:positionH>
            <wp:positionV relativeFrom="paragraph">
              <wp:posOffset>71120</wp:posOffset>
            </wp:positionV>
            <wp:extent cx="1856740" cy="2600960"/>
            <wp:effectExtent l="0" t="0" r="10160" b="8890"/>
            <wp:wrapTopAndBottom/>
            <wp:docPr id="246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 name="图片 28"/>
                    <pic:cNvPicPr>
                      <a:picLocks noChangeAspect="1"/>
                    </pic:cNvPicPr>
                  </pic:nvPicPr>
                  <pic:blipFill>
                    <a:blip r:embed="rId6"/>
                    <a:stretch>
                      <a:fillRect/>
                    </a:stretch>
                  </pic:blipFill>
                  <pic:spPr>
                    <a:xfrm>
                      <a:off x="0" y="0"/>
                      <a:ext cx="1856740" cy="2600960"/>
                    </a:xfrm>
                    <a:prstGeom prst="rect">
                      <a:avLst/>
                    </a:prstGeom>
                    <a:noFill/>
                    <a:ln w="9525">
                      <a:noFill/>
                    </a:ln>
                  </pic:spPr>
                </pic:pic>
              </a:graphicData>
            </a:graphic>
          </wp:anchor>
        </w:drawing>
      </w:r>
      <w:r>
        <w:rPr>
          <w:sz w:val="22"/>
        </w:rPr>
        <w:pict>
          <v:shape id="_x0000_s2050" o:spid="_x0000_s2050" o:spt="202" type="#_x0000_t202" style="position:absolute;left:0pt;margin-left:392.7pt;margin-top:181.4pt;height:144pt;width:144pt;mso-wrap-distance-bottom:0pt;mso-wrap-distance-left:9pt;mso-wrap-distance-right:9pt;mso-wrap-distance-top:0pt;mso-wrap-style:none;z-index:251662336;mso-width-relative:page;mso-height-relative:page;" filled="f" stroked="f" coordsize="21600,21600">
            <v:path/>
            <v:fill on="f" focussize="0,0"/>
            <v:stroke on="f"/>
            <v:imagedata o:title=""/>
            <o:lock v:ext="edit" aspectratio="f"/>
            <v:textbox style="mso-fit-shape-to-text:t;">
              <w:txbxContent>
                <w:p w14:paraId="14ED5814">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楷体" w:hAnsi="楷体" w:eastAsia="楷体" w:cs="楷体"/>
                      <w:b/>
                      <w:bCs/>
                      <w:sz w:val="22"/>
                      <w:szCs w:val="22"/>
                      <w:lang w:val="en-US" w:eastAsia="zh-CN"/>
                    </w:rPr>
                  </w:pPr>
                  <w:r>
                    <w:rPr>
                      <w:rFonts w:hint="eastAsia" w:ascii="楷体" w:hAnsi="楷体" w:eastAsia="楷体" w:cs="楷体"/>
                      <w:b/>
                      <w:bCs/>
                      <w:sz w:val="22"/>
                      <w:szCs w:val="22"/>
                      <w:lang w:val="en-US" w:eastAsia="zh-CN"/>
                    </w:rPr>
                    <w:t>图1</w:t>
                  </w:r>
                </w:p>
              </w:txbxContent>
            </v:textbox>
            <w10:wrap type="square"/>
          </v:shape>
        </w:pict>
      </w:r>
      <w:r>
        <w:rPr>
          <w:rFonts w:hint="eastAsia" w:cs="宋体" w:asciiTheme="minorEastAsia" w:hAnsiTheme="minorEastAsia" w:eastAsiaTheme="minorEastAsia"/>
          <w:b/>
          <w:bCs/>
          <w:sz w:val="32"/>
          <w:szCs w:val="32"/>
          <w:highlight w:val="none"/>
          <w:lang w:val="en-US" w:eastAsia="zh-CN"/>
        </w:rPr>
        <w:drawing>
          <wp:anchor distT="0" distB="0" distL="114300" distR="114300" simplePos="0" relativeHeight="251661312" behindDoc="0" locked="0" layoutInCell="1" allowOverlap="1">
            <wp:simplePos x="0" y="0"/>
            <wp:positionH relativeFrom="column">
              <wp:posOffset>4232275</wp:posOffset>
            </wp:positionH>
            <wp:positionV relativeFrom="paragraph">
              <wp:posOffset>491490</wp:posOffset>
            </wp:positionV>
            <wp:extent cx="1930400" cy="1914525"/>
            <wp:effectExtent l="0" t="0" r="12700" b="9525"/>
            <wp:wrapNone/>
            <wp:docPr id="4" name="图片 4" descr="74c7364b6b0a77121d6fdd166e46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4c7364b6b0a77121d6fdd166e461803"/>
                    <pic:cNvPicPr>
                      <a:picLocks noChangeAspect="1"/>
                    </pic:cNvPicPr>
                  </pic:nvPicPr>
                  <pic:blipFill>
                    <a:blip r:embed="rId7"/>
                    <a:stretch>
                      <a:fillRect/>
                    </a:stretch>
                  </pic:blipFill>
                  <pic:spPr>
                    <a:xfrm>
                      <a:off x="0" y="0"/>
                      <a:ext cx="1930400" cy="1914525"/>
                    </a:xfrm>
                    <a:prstGeom prst="rect">
                      <a:avLst/>
                    </a:prstGeom>
                  </pic:spPr>
                </pic:pic>
              </a:graphicData>
            </a:graphic>
          </wp:anchor>
        </w:drawing>
      </w:r>
      <w:r>
        <w:rPr>
          <w:rFonts w:hint="eastAsia" w:ascii="楷体" w:hAnsi="楷体" w:eastAsia="楷体" w:cs="楷体"/>
          <w:sz w:val="22"/>
          <w:szCs w:val="22"/>
          <w:lang w:val="en-US" w:eastAsia="zh-CN"/>
        </w:rPr>
        <w:t xml:space="preserve">           </w:t>
      </w:r>
      <w:r>
        <w:rPr>
          <w:rFonts w:hint="eastAsia" w:ascii="楷体" w:hAnsi="楷体" w:eastAsia="楷体" w:cs="楷体"/>
          <w:b/>
          <w:bCs/>
          <w:sz w:val="22"/>
          <w:szCs w:val="22"/>
          <w:lang w:val="en-US" w:eastAsia="zh-CN"/>
        </w:rPr>
        <w:t xml:space="preserve">                                        </w:t>
      </w:r>
    </w:p>
    <w:p w14:paraId="101B3468">
      <w:pPr>
        <w:keepNext w:val="0"/>
        <w:keepLines w:val="0"/>
        <w:pageBreakBefore w:val="0"/>
        <w:numPr>
          <w:ilvl w:val="0"/>
          <w:numId w:val="3"/>
        </w:numPr>
        <w:kinsoku/>
        <w:wordWrap/>
        <w:overflowPunct/>
        <w:topLinePunct w:val="0"/>
        <w:autoSpaceDE/>
        <w:autoSpaceDN/>
        <w:bidi w:val="0"/>
        <w:adjustRightInd/>
        <w:snapToGrid/>
        <w:spacing w:line="540" w:lineRule="exact"/>
        <w:ind w:left="0" w:leftChars="0" w:firstLine="0" w:firstLineChars="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其他要求：物资送达项目地点后，现场进行安装，并确认所有器件功能正常，方能进行验收。</w:t>
      </w:r>
    </w:p>
    <w:p w14:paraId="153B09CA">
      <w:pPr>
        <w:keepNext w:val="0"/>
        <w:keepLines w:val="0"/>
        <w:pageBreakBefore w:val="0"/>
        <w:numPr>
          <w:numId w:val="0"/>
        </w:numPr>
        <w:kinsoku/>
        <w:wordWrap/>
        <w:overflowPunct/>
        <w:topLinePunct w:val="0"/>
        <w:autoSpaceDE/>
        <w:autoSpaceDN/>
        <w:bidi w:val="0"/>
        <w:adjustRightInd/>
        <w:snapToGrid/>
        <w:spacing w:line="540" w:lineRule="exact"/>
        <w:ind w:leftChars="0"/>
        <w:jc w:val="both"/>
        <w:textAlignment w:val="auto"/>
        <w:rPr>
          <w:rFonts w:hint="eastAsia" w:ascii="宋体" w:hAnsi="宋体" w:eastAsia="宋体" w:cs="宋体"/>
          <w:sz w:val="30"/>
          <w:szCs w:val="30"/>
          <w:lang w:val="en-US" w:eastAsia="zh-CN"/>
        </w:rPr>
      </w:pPr>
    </w:p>
    <w:p w14:paraId="7B123483">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jc w:val="left"/>
        <w:textAlignment w:val="auto"/>
        <w:rPr>
          <w:rFonts w:hint="eastAsia" w:cs="宋体" w:asciiTheme="minorEastAsia" w:hAnsiTheme="minorEastAsia" w:eastAsiaTheme="minorEastAsia"/>
          <w:b/>
          <w:bCs/>
          <w:sz w:val="32"/>
          <w:szCs w:val="32"/>
          <w:highlight w:val="none"/>
          <w:lang w:val="en-US" w:eastAsia="zh-CN"/>
        </w:rPr>
      </w:pPr>
      <w:r>
        <w:rPr>
          <w:rFonts w:hint="eastAsia" w:cs="宋体" w:asciiTheme="minorEastAsia" w:hAnsiTheme="minorEastAsia" w:eastAsiaTheme="minorEastAsia"/>
          <w:b/>
          <w:bCs/>
          <w:sz w:val="32"/>
          <w:szCs w:val="32"/>
          <w:highlight w:val="none"/>
          <w:lang w:val="en-US" w:eastAsia="zh-CN"/>
        </w:rPr>
        <w:t>物资第22项水阀开关参考图样（图1）</w:t>
      </w:r>
    </w:p>
    <w:p w14:paraId="47E22B68">
      <w:pPr>
        <w:keepNext w:val="0"/>
        <w:keepLines w:val="0"/>
        <w:pageBreakBefore w:val="0"/>
        <w:numPr>
          <w:numId w:val="0"/>
        </w:numPr>
        <w:kinsoku/>
        <w:wordWrap/>
        <w:overflowPunct/>
        <w:topLinePunct w:val="0"/>
        <w:autoSpaceDE/>
        <w:autoSpaceDN/>
        <w:bidi w:val="0"/>
        <w:adjustRightInd/>
        <w:snapToGrid/>
        <w:spacing w:line="540" w:lineRule="exact"/>
        <w:ind w:leftChars="0"/>
        <w:jc w:val="both"/>
        <w:textAlignment w:val="auto"/>
        <w:rPr>
          <w:rFonts w:hint="default" w:ascii="宋体" w:hAnsi="宋体" w:eastAsia="宋体" w:cs="宋体"/>
          <w:sz w:val="30"/>
          <w:szCs w:val="30"/>
          <w:lang w:val="en-US" w:eastAsia="zh-CN"/>
        </w:rPr>
      </w:pPr>
    </w:p>
    <w:p w14:paraId="4472E4E8">
      <w:pPr>
        <w:rPr>
          <w:rFonts w:hint="eastAsia"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highlight w:val="none"/>
          <w:lang w:val="en-US" w:eastAsia="zh-CN"/>
        </w:rPr>
        <w:br w:type="page"/>
      </w:r>
      <w:bookmarkStart w:id="1" w:name="_GoBack"/>
      <w:bookmarkEnd w:id="1"/>
    </w:p>
    <w:p w14:paraId="51CEB51E">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highlight w:val="none"/>
          <w:lang w:val="en-US" w:eastAsia="zh-CN"/>
        </w:rPr>
        <w:t xml:space="preserve"> 响应文件资料组成及相关要求</w:t>
      </w:r>
    </w:p>
    <w:p w14:paraId="694A2172">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1.封面（注明参与投标项目名称、单位、联系人、联系电话、正本或副本等信息）加盖公章，贴在密封袋面和投标文件封面（详见附件1）</w:t>
      </w:r>
    </w:p>
    <w:p w14:paraId="39FA178B">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2.投标资质证明文件</w:t>
      </w:r>
    </w:p>
    <w:p w14:paraId="0D35FAB8">
      <w:pPr>
        <w:keepNext w:val="0"/>
        <w:keepLines w:val="0"/>
        <w:pageBreakBefore w:val="0"/>
        <w:widowControl/>
        <w:numPr>
          <w:ilvl w:val="0"/>
          <w:numId w:val="5"/>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投标人资格声明函（详见附件2）</w:t>
      </w:r>
    </w:p>
    <w:p w14:paraId="2876F60F">
      <w:pPr>
        <w:keepNext w:val="0"/>
        <w:keepLines w:val="0"/>
        <w:pageBreakBefore w:val="0"/>
        <w:widowControl/>
        <w:numPr>
          <w:ilvl w:val="0"/>
          <w:numId w:val="5"/>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无重大违法记录声明函（详见附件3）</w:t>
      </w:r>
    </w:p>
    <w:p w14:paraId="3BE7277C">
      <w:pPr>
        <w:keepNext w:val="0"/>
        <w:keepLines w:val="0"/>
        <w:pageBreakBefore w:val="0"/>
        <w:widowControl/>
        <w:numPr>
          <w:ilvl w:val="0"/>
          <w:numId w:val="5"/>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有效的营业执照（或事业法人登记证或身份证等相关证明）复印件</w:t>
      </w:r>
    </w:p>
    <w:p w14:paraId="141FCDF7">
      <w:pPr>
        <w:keepNext w:val="0"/>
        <w:keepLines w:val="0"/>
        <w:pageBreakBefore w:val="0"/>
        <w:widowControl/>
        <w:numPr>
          <w:ilvl w:val="0"/>
          <w:numId w:val="5"/>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法定代表人身份证复印件</w:t>
      </w:r>
    </w:p>
    <w:p w14:paraId="540226DF">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3.服务承诺书包括供货时效、送货服务、产品质量服务、售后服务等（详见附件4）。</w:t>
      </w:r>
    </w:p>
    <w:p w14:paraId="27163C56">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4.项目报价表</w:t>
      </w:r>
    </w:p>
    <w:p w14:paraId="4887BE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40" w:lineRule="exact"/>
        <w:ind w:left="0" w:right="0" w:firstLine="640" w:firstLineChars="200"/>
        <w:jc w:val="both"/>
        <w:textAlignment w:val="auto"/>
      </w:pPr>
      <w:r>
        <w:rPr>
          <w:rFonts w:hint="eastAsia" w:ascii="宋体" w:hAnsi="宋体" w:eastAsia="宋体" w:cs="宋体"/>
          <w:kern w:val="2"/>
          <w:sz w:val="32"/>
          <w:szCs w:val="32"/>
          <w:lang w:val="en-US" w:eastAsia="zh-CN" w:bidi="ar-SA"/>
        </w:rPr>
        <w:t>所有响应文件材料加盖公章，一式三份均须独立密封（一正两副），响应文件的正本和副本应在封面显著位置清楚标明“正本”或“副本”字样。如正本和副本内容不一致以正本书面文件为准。A4纸规格，加盖公章，顺序装订。密封袋须用封条密封加盖公章。本公告给出格式的，各供应商必须依给定的格式制作；本公告未给出格式的，各供应商可自行设计格式。</w:t>
      </w:r>
    </w:p>
    <w:p w14:paraId="412F7B37">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6A452FE1">
      <w:pPr>
        <w:pStyle w:val="11"/>
        <w:jc w:val="both"/>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附件1</w:t>
      </w:r>
    </w:p>
    <w:p w14:paraId="3C03653A">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79F81735">
      <w:pPr>
        <w:spacing w:line="240" w:lineRule="atLeast"/>
        <w:jc w:val="center"/>
        <w:rPr>
          <w:rFonts w:hint="eastAsia" w:cs="Helvetica" w:asciiTheme="minorEastAsia" w:hAnsiTheme="minorEastAsia" w:eastAsiaTheme="minorEastAsia"/>
          <w:b/>
          <w:color w:val="auto"/>
          <w:kern w:val="0"/>
          <w:sz w:val="44"/>
          <w:szCs w:val="44"/>
          <w:u w:val="single"/>
        </w:rPr>
      </w:pPr>
      <w:r>
        <w:rPr>
          <w:rFonts w:hint="eastAsia" w:cs="Helvetica" w:asciiTheme="minorEastAsia" w:hAnsiTheme="minorEastAsia" w:eastAsiaTheme="minorEastAsia"/>
          <w:b/>
          <w:color w:val="auto"/>
          <w:kern w:val="0"/>
          <w:sz w:val="44"/>
          <w:szCs w:val="44"/>
          <w:u w:val="single"/>
        </w:rPr>
        <w:t>江门市技师学院</w:t>
      </w:r>
    </w:p>
    <w:p w14:paraId="45945457">
      <w:pPr>
        <w:spacing w:line="240" w:lineRule="atLeast"/>
        <w:jc w:val="center"/>
        <w:rPr>
          <w:rFonts w:hint="eastAsia" w:cs="Helvetica" w:asciiTheme="minorEastAsia" w:hAnsiTheme="minorEastAsia" w:eastAsiaTheme="minorEastAsia"/>
          <w:b/>
          <w:color w:val="auto"/>
          <w:kern w:val="0"/>
          <w:sz w:val="44"/>
          <w:szCs w:val="44"/>
          <w:u w:val="single"/>
          <w:lang w:val="en-US" w:eastAsia="zh-CN"/>
        </w:rPr>
      </w:pPr>
      <w:r>
        <w:rPr>
          <w:rFonts w:hint="eastAsia" w:cs="Helvetica" w:asciiTheme="minorEastAsia" w:hAnsiTheme="minorEastAsia" w:eastAsiaTheme="minorEastAsia"/>
          <w:b/>
          <w:color w:val="auto"/>
          <w:kern w:val="0"/>
          <w:sz w:val="44"/>
          <w:szCs w:val="44"/>
          <w:u w:val="single"/>
          <w:lang w:val="en-US" w:eastAsia="zh-CN"/>
        </w:rPr>
        <w:t>机电工程系电气自动化设备安装与维修专业教具</w:t>
      </w:r>
    </w:p>
    <w:p w14:paraId="46F93C73">
      <w:pPr>
        <w:spacing w:line="240" w:lineRule="atLeast"/>
        <w:jc w:val="center"/>
        <w:rPr>
          <w:rFonts w:hint="eastAsia" w:cs="Helvetica" w:asciiTheme="minorEastAsia" w:hAnsiTheme="minorEastAsia" w:eastAsiaTheme="minorEastAsia"/>
          <w:b/>
          <w:color w:val="auto"/>
          <w:kern w:val="0"/>
          <w:sz w:val="44"/>
          <w:szCs w:val="44"/>
          <w:u w:val="single"/>
          <w:lang w:eastAsia="zh-CN"/>
        </w:rPr>
      </w:pPr>
      <w:r>
        <w:rPr>
          <w:rFonts w:hint="eastAsia" w:cs="Helvetica" w:asciiTheme="minorEastAsia" w:hAnsiTheme="minorEastAsia" w:eastAsiaTheme="minorEastAsia"/>
          <w:b/>
          <w:color w:val="auto"/>
          <w:kern w:val="0"/>
          <w:sz w:val="44"/>
          <w:szCs w:val="44"/>
          <w:u w:val="single"/>
          <w:lang w:val="en-US" w:eastAsia="zh-CN"/>
        </w:rPr>
        <w:t>购置项目</w:t>
      </w:r>
    </w:p>
    <w:p w14:paraId="4ABB66FA">
      <w:pPr>
        <w:spacing w:line="240" w:lineRule="atLeast"/>
        <w:jc w:val="center"/>
        <w:rPr>
          <w:rFonts w:hint="eastAsia" w:asciiTheme="minorEastAsia" w:hAnsiTheme="minorEastAsia" w:eastAsiaTheme="minorEastAsia"/>
          <w:b/>
          <w:color w:val="auto"/>
          <w:sz w:val="28"/>
          <w:szCs w:val="28"/>
          <w:lang w:val="en-US" w:eastAsia="zh-CN"/>
        </w:rPr>
      </w:pPr>
      <w:r>
        <w:rPr>
          <w:rFonts w:hint="eastAsia" w:asciiTheme="minorEastAsia" w:hAnsiTheme="minorEastAsia" w:eastAsiaTheme="minorEastAsia"/>
          <w:b/>
          <w:color w:val="auto"/>
          <w:sz w:val="28"/>
          <w:szCs w:val="28"/>
        </w:rPr>
        <w:t>项目编号：</w:t>
      </w:r>
      <w:r>
        <w:rPr>
          <w:rFonts w:hint="eastAsia" w:asciiTheme="minorEastAsia" w:hAnsiTheme="minorEastAsia" w:eastAsiaTheme="minorEastAsia"/>
          <w:b/>
          <w:color w:val="auto"/>
          <w:sz w:val="28"/>
          <w:szCs w:val="28"/>
          <w:lang w:val="en-US" w:eastAsia="zh-CN"/>
        </w:rPr>
        <w:t>jdgcx-2025-007</w:t>
      </w:r>
    </w:p>
    <w:p w14:paraId="085496AE">
      <w:pPr>
        <w:spacing w:line="240" w:lineRule="atLeast"/>
        <w:jc w:val="center"/>
        <w:rPr>
          <w:rFonts w:hint="eastAsia" w:asciiTheme="minorEastAsia" w:hAnsiTheme="minorEastAsia" w:eastAsiaTheme="minorEastAsia"/>
          <w:b/>
          <w:color w:val="auto"/>
          <w:sz w:val="28"/>
          <w:szCs w:val="28"/>
          <w:lang w:val="en-US" w:eastAsia="zh-CN"/>
        </w:rPr>
      </w:pPr>
    </w:p>
    <w:p w14:paraId="2B21BEDF">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响</w:t>
      </w:r>
    </w:p>
    <w:p w14:paraId="1E42F7F0">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应</w:t>
      </w:r>
    </w:p>
    <w:p w14:paraId="22B48E34">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文</w:t>
      </w:r>
    </w:p>
    <w:p w14:paraId="29EF60F2">
      <w:pPr>
        <w:spacing w:line="240" w:lineRule="atLeast"/>
        <w:jc w:val="center"/>
        <w:rPr>
          <w:rFonts w:asciiTheme="minorEastAsia" w:hAnsiTheme="minorEastAsia" w:eastAsiaTheme="minorEastAsia"/>
          <w:color w:val="auto"/>
          <w:sz w:val="72"/>
          <w:szCs w:val="72"/>
        </w:rPr>
      </w:pPr>
      <w:r>
        <w:rPr>
          <w:rFonts w:hint="eastAsia" w:asciiTheme="minorEastAsia" w:hAnsiTheme="minorEastAsia" w:eastAsiaTheme="minorEastAsia"/>
          <w:b/>
          <w:bCs/>
          <w:color w:val="auto"/>
          <w:sz w:val="72"/>
          <w:szCs w:val="72"/>
        </w:rPr>
        <w:t>件</w:t>
      </w:r>
    </w:p>
    <w:p w14:paraId="540F3C23">
      <w:pPr>
        <w:spacing w:line="240" w:lineRule="atLeast"/>
        <w:ind w:firstLine="320" w:firstLineChars="100"/>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（正本/副本）</w:t>
      </w:r>
    </w:p>
    <w:p w14:paraId="4E199916">
      <w:pPr>
        <w:spacing w:line="240" w:lineRule="atLeast"/>
        <w:ind w:firstLine="320" w:firstLineChars="100"/>
        <w:jc w:val="center"/>
        <w:rPr>
          <w:rFonts w:asciiTheme="minorEastAsia" w:hAnsiTheme="minorEastAsia" w:eastAsiaTheme="minorEastAsia"/>
          <w:color w:val="000000"/>
          <w:sz w:val="32"/>
          <w:szCs w:val="32"/>
        </w:rPr>
      </w:pPr>
    </w:p>
    <w:p w14:paraId="1AB24705">
      <w:pPr>
        <w:spacing w:line="360" w:lineRule="auto"/>
        <w:rPr>
          <w:rFonts w:asciiTheme="minorEastAsia" w:hAnsiTheme="minorEastAsia" w:eastAsiaTheme="minorEastAsia"/>
          <w:color w:val="000000"/>
          <w:sz w:val="28"/>
          <w:szCs w:val="28"/>
        </w:rPr>
      </w:pPr>
    </w:p>
    <w:p w14:paraId="7D5DDF2B">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21A5EE63">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法定代表人或委托代理人（签字）：</w:t>
      </w:r>
    </w:p>
    <w:p w14:paraId="10C41B24">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1E12CF79">
      <w:pPr>
        <w:keepNext w:val="0"/>
        <w:keepLines w:val="0"/>
        <w:pageBreakBefore w:val="0"/>
        <w:widowControl w:val="0"/>
        <w:kinsoku/>
        <w:wordWrap/>
        <w:overflowPunct/>
        <w:topLinePunct w:val="0"/>
        <w:autoSpaceDE/>
        <w:autoSpaceDN/>
        <w:bidi w:val="0"/>
        <w:adjustRightInd/>
        <w:snapToGrid w:val="0"/>
        <w:spacing w:line="240" w:lineRule="auto"/>
        <w:ind w:right="-732" w:rightChars="-244"/>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封面粘贴要求：按统一格式，完善相关资料后打印贴于档案袋正面</w:t>
      </w:r>
    </w:p>
    <w:p w14:paraId="6CC0C5DA">
      <w:pPr>
        <w:spacing w:line="240" w:lineRule="atLeast"/>
        <w:ind w:right="-732" w:rightChars="-244"/>
        <w:rPr>
          <w:rFonts w:asciiTheme="minorEastAsia" w:hAnsiTheme="minorEastAsia" w:eastAsiaTheme="minorEastAsia"/>
          <w:b/>
          <w:bCs/>
          <w:color w:val="auto"/>
          <w:sz w:val="28"/>
          <w:u w:val="double"/>
        </w:rPr>
      </w:pPr>
      <w:r>
        <w:rPr>
          <w:rFonts w:hint="eastAsia" w:asciiTheme="minorEastAsia" w:hAnsiTheme="minorEastAsia" w:eastAsiaTheme="minorEastAsia"/>
          <w:b/>
          <w:bCs/>
          <w:color w:val="auto"/>
          <w:sz w:val="28"/>
          <w:u w:val="double"/>
        </w:rPr>
        <w:t>注意：请选择正本或副本，并加盖单位公章。</w:t>
      </w:r>
    </w:p>
    <w:p w14:paraId="308B0D10">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8"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20812203">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494B5877">
      <w:pPr>
        <w:keepNext w:val="0"/>
        <w:keepLines w:val="0"/>
        <w:pageBreakBefore w:val="0"/>
        <w:widowControl w:val="0"/>
        <w:kinsoku/>
        <w:wordWrap/>
        <w:overflowPunct/>
        <w:topLinePunct w:val="0"/>
        <w:autoSpaceDE/>
        <w:autoSpaceDN/>
        <w:bidi w:val="0"/>
        <w:adjustRightInd/>
        <w:snapToGrid w:val="0"/>
        <w:spacing w:line="240" w:lineRule="auto"/>
        <w:ind w:right="-732" w:rightChars="-244"/>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封条粘贴要求：密封条须贴在档案袋封口处，盖骑缝公章。</w:t>
      </w:r>
    </w:p>
    <w:p w14:paraId="5A2DB0F8">
      <w:pPr>
        <w:keepNext w:val="0"/>
        <w:keepLines w:val="0"/>
        <w:pageBreakBefore w:val="0"/>
        <w:widowControl w:val="0"/>
        <w:kinsoku/>
        <w:wordWrap/>
        <w:overflowPunct/>
        <w:topLinePunct w:val="0"/>
        <w:autoSpaceDE/>
        <w:autoSpaceDN/>
        <w:bidi w:val="0"/>
        <w:adjustRightInd/>
        <w:snapToGrid w:val="0"/>
        <w:spacing w:line="240" w:lineRule="auto"/>
        <w:ind w:right="-732" w:rightChars="-244"/>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注意：下图仅供参考，密封条粘贴及盖章位置按需处理。</w:t>
      </w:r>
    </w:p>
    <w:p w14:paraId="4149A9A8">
      <w:pPr>
        <w:spacing w:line="240" w:lineRule="atLeast"/>
        <w:ind w:right="-732" w:rightChars="-244"/>
        <w:jc w:val="center"/>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5441950" cy="7425055"/>
            <wp:effectExtent l="0" t="0" r="6350" b="4445"/>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9"/>
                    <a:srcRect/>
                    <a:stretch>
                      <a:fillRect/>
                    </a:stretch>
                  </pic:blipFill>
                  <pic:spPr>
                    <a:xfrm>
                      <a:off x="0" y="0"/>
                      <a:ext cx="5441950" cy="742505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7530F219">
      <w:pPr>
        <w:widowControl/>
        <w:jc w:val="left"/>
        <w:rPr>
          <w:rFonts w:hint="eastAsia" w:ascii="仿宋" w:hAnsi="仿宋" w:eastAsia="仿宋" w:cs="仿宋"/>
          <w:sz w:val="32"/>
          <w:szCs w:val="32"/>
        </w:rPr>
      </w:pPr>
      <w:r>
        <w:rPr>
          <w:rFonts w:hint="eastAsia" w:ascii="仿宋" w:hAnsi="仿宋" w:eastAsia="仿宋" w:cs="仿宋"/>
          <w:sz w:val="32"/>
          <w:szCs w:val="32"/>
        </w:rPr>
        <w:t>附件2</w:t>
      </w:r>
    </w:p>
    <w:p w14:paraId="1AF43016">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1A924D02">
      <w:pPr>
        <w:widowControl/>
        <w:jc w:val="left"/>
        <w:rPr>
          <w:rFonts w:asciiTheme="minorEastAsia" w:hAnsiTheme="minorEastAsia" w:eastAsiaTheme="minorEastAsia"/>
          <w:b/>
          <w:sz w:val="28"/>
          <w:szCs w:val="28"/>
        </w:rPr>
      </w:pPr>
    </w:p>
    <w:p w14:paraId="1F9214C8">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5793C86">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1983019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505C58C4">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354B63B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0043AA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FF1291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6023F07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25710D3">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3D9027BF">
      <w:pPr>
        <w:widowControl/>
        <w:jc w:val="left"/>
        <w:rPr>
          <w:rFonts w:hint="eastAsia" w:ascii="仿宋" w:hAnsi="仿宋" w:eastAsia="仿宋" w:cs="仿宋"/>
          <w:sz w:val="32"/>
          <w:szCs w:val="32"/>
        </w:rPr>
      </w:pPr>
      <w:r>
        <w:rPr>
          <w:rFonts w:hint="eastAsia" w:ascii="仿宋" w:hAnsi="仿宋" w:eastAsia="仿宋" w:cs="仿宋"/>
          <w:sz w:val="32"/>
          <w:szCs w:val="32"/>
        </w:rPr>
        <w:t>附件3</w:t>
      </w:r>
    </w:p>
    <w:p w14:paraId="0B877A7A">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4899D50D">
      <w:pPr>
        <w:tabs>
          <w:tab w:val="left" w:pos="3952"/>
        </w:tabs>
        <w:rPr>
          <w:rFonts w:asciiTheme="minorEastAsia" w:hAnsiTheme="minorEastAsia" w:eastAsiaTheme="minorEastAsia"/>
          <w:sz w:val="24"/>
        </w:rPr>
      </w:pPr>
    </w:p>
    <w:p w14:paraId="75E03516">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4EC8E58">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3B90BEB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2E3AC463">
      <w:pPr>
        <w:spacing w:line="480" w:lineRule="auto"/>
        <w:rPr>
          <w:rFonts w:asciiTheme="minorEastAsia" w:hAnsiTheme="minorEastAsia" w:eastAsiaTheme="minorEastAsia"/>
          <w:sz w:val="28"/>
          <w:szCs w:val="28"/>
        </w:rPr>
      </w:pPr>
    </w:p>
    <w:p w14:paraId="7BA81945">
      <w:pPr>
        <w:spacing w:line="480" w:lineRule="auto"/>
        <w:rPr>
          <w:rFonts w:asciiTheme="minorEastAsia" w:hAnsiTheme="minorEastAsia" w:eastAsiaTheme="minorEastAsia"/>
          <w:sz w:val="28"/>
          <w:szCs w:val="28"/>
        </w:rPr>
      </w:pPr>
    </w:p>
    <w:p w14:paraId="525D687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294E975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DAF27A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2FB82F1">
      <w:pPr>
        <w:rPr>
          <w:rFonts w:asciiTheme="minorEastAsia" w:hAnsiTheme="minorEastAsia" w:eastAsiaTheme="minorEastAsia"/>
        </w:rPr>
      </w:pPr>
    </w:p>
    <w:p w14:paraId="4260B5A8">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3702D922">
      <w:pPr>
        <w:widowControl/>
        <w:jc w:val="left"/>
        <w:rPr>
          <w:rFonts w:hint="eastAsia" w:ascii="仿宋" w:hAnsi="仿宋" w:eastAsia="仿宋" w:cs="仿宋"/>
          <w:sz w:val="32"/>
          <w:szCs w:val="32"/>
        </w:rPr>
      </w:pPr>
      <w:r>
        <w:rPr>
          <w:rFonts w:hint="eastAsia" w:ascii="仿宋" w:hAnsi="仿宋" w:eastAsia="仿宋" w:cs="仿宋"/>
          <w:sz w:val="32"/>
          <w:szCs w:val="32"/>
        </w:rPr>
        <w:t>附件4</w:t>
      </w:r>
    </w:p>
    <w:p w14:paraId="7111BB4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1FC6FA75">
      <w:pPr>
        <w:rPr>
          <w:rFonts w:asciiTheme="minorEastAsia" w:hAnsiTheme="minorEastAsia" w:eastAsiaTheme="minorEastAsia"/>
        </w:rPr>
      </w:pPr>
    </w:p>
    <w:p w14:paraId="3BB2273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7C9AC5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4B2E3E2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2B3FC2C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260CEE2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E3CE6D3">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011E82DD">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130E193B">
      <w:pPr>
        <w:pStyle w:val="11"/>
        <w:jc w:val="both"/>
        <w:rPr>
          <w:rFonts w:asciiTheme="minorEastAsia" w:hAnsiTheme="minorEastAsia" w:eastAsiaTheme="minorEastAsia"/>
          <w:b w:val="0"/>
          <w:bCs w:val="0"/>
          <w:sz w:val="30"/>
          <w:szCs w:val="20"/>
        </w:rPr>
      </w:pPr>
    </w:p>
    <w:p w14:paraId="6EA5803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6FDCB5C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1209970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22C6AD3">
      <w:pPr>
        <w:pStyle w:val="11"/>
        <w:jc w:val="both"/>
        <w:rPr>
          <w:rFonts w:asciiTheme="minorEastAsia" w:hAnsiTheme="minorEastAsia" w:eastAsiaTheme="minorEastAsia"/>
          <w:b w:val="0"/>
          <w:bCs w:val="0"/>
          <w:sz w:val="30"/>
          <w:szCs w:val="20"/>
        </w:rPr>
      </w:pPr>
    </w:p>
    <w:sectPr>
      <w:footerReference r:id="rId3" w:type="default"/>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A204">
    <w:pPr>
      <w:pStyle w:val="8"/>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18A39CC">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B78FA"/>
    <w:multiLevelType w:val="singleLevel"/>
    <w:tmpl w:val="985B78FA"/>
    <w:lvl w:ilvl="0" w:tentative="0">
      <w:start w:val="1"/>
      <w:numFmt w:val="chineseCounting"/>
      <w:suff w:val="space"/>
      <w:lvlText w:val="第%1章"/>
      <w:lvlJc w:val="left"/>
      <w:rPr>
        <w:rFonts w:hint="eastAsia"/>
      </w:rPr>
    </w:lvl>
  </w:abstractNum>
  <w:abstractNum w:abstractNumId="1">
    <w:nsid w:val="D2A9677F"/>
    <w:multiLevelType w:val="singleLevel"/>
    <w:tmpl w:val="D2A9677F"/>
    <w:lvl w:ilvl="0" w:tentative="0">
      <w:start w:val="1"/>
      <w:numFmt w:val="decimal"/>
      <w:lvlText w:val="%1)"/>
      <w:lvlJc w:val="left"/>
      <w:pPr>
        <w:ind w:left="425" w:hanging="425"/>
      </w:pPr>
      <w:rPr>
        <w:rFonts w:hint="default"/>
      </w:rPr>
    </w:lvl>
  </w:abstractNum>
  <w:abstractNum w:abstractNumId="2">
    <w:nsid w:val="FDF7CA5A"/>
    <w:multiLevelType w:val="singleLevel"/>
    <w:tmpl w:val="FDF7CA5A"/>
    <w:lvl w:ilvl="0" w:tentative="0">
      <w:start w:val="1"/>
      <w:numFmt w:val="decimal"/>
      <w:lvlText w:val="%1."/>
      <w:lvlJc w:val="left"/>
      <w:pPr>
        <w:tabs>
          <w:tab w:val="left" w:pos="312"/>
        </w:tabs>
      </w:pPr>
    </w:lvl>
  </w:abstractNum>
  <w:abstractNum w:abstractNumId="3">
    <w:nsid w:val="1DED2B94"/>
    <w:multiLevelType w:val="multilevel"/>
    <w:tmpl w:val="1DED2B94"/>
    <w:lvl w:ilvl="0" w:tentative="0">
      <w:start w:val="1"/>
      <w:numFmt w:val="decimal"/>
      <w:suff w:val="space"/>
      <w:lvlText w:val="%1"/>
      <w:lvlJc w:val="left"/>
      <w:pPr>
        <w:ind w:left="-144" w:leftChars="0" w:firstLine="284" w:firstLineChars="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abstractNum w:abstractNumId="4">
    <w:nsid w:val="6183437F"/>
    <w:multiLevelType w:val="singleLevel"/>
    <w:tmpl w:val="6183437F"/>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k2YmYzMTZkYWIzMDYzYjU5ZjJiOTMwMGEzYjAwNzQ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66B56"/>
    <w:rsid w:val="00186BEA"/>
    <w:rsid w:val="0019108D"/>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4785"/>
    <w:rsid w:val="00D9012D"/>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2473A16"/>
    <w:rsid w:val="02F77C0B"/>
    <w:rsid w:val="04C81B00"/>
    <w:rsid w:val="057228FE"/>
    <w:rsid w:val="05863F97"/>
    <w:rsid w:val="06B807E5"/>
    <w:rsid w:val="09E518F1"/>
    <w:rsid w:val="0A762E91"/>
    <w:rsid w:val="0AA338DC"/>
    <w:rsid w:val="0B3D42FF"/>
    <w:rsid w:val="0BC1013B"/>
    <w:rsid w:val="0C2F32F7"/>
    <w:rsid w:val="1065231A"/>
    <w:rsid w:val="106E2D60"/>
    <w:rsid w:val="12CF75E2"/>
    <w:rsid w:val="13C82EA6"/>
    <w:rsid w:val="15A559B2"/>
    <w:rsid w:val="17442DFA"/>
    <w:rsid w:val="18B32872"/>
    <w:rsid w:val="18E12539"/>
    <w:rsid w:val="197734BB"/>
    <w:rsid w:val="1A450BCC"/>
    <w:rsid w:val="1B83540D"/>
    <w:rsid w:val="1C2E5379"/>
    <w:rsid w:val="204D5BCA"/>
    <w:rsid w:val="207739E6"/>
    <w:rsid w:val="21E14C3C"/>
    <w:rsid w:val="23426C2A"/>
    <w:rsid w:val="254A0D4A"/>
    <w:rsid w:val="25EB58CC"/>
    <w:rsid w:val="263F3A83"/>
    <w:rsid w:val="27556312"/>
    <w:rsid w:val="288527C5"/>
    <w:rsid w:val="28B22E8E"/>
    <w:rsid w:val="2A20564D"/>
    <w:rsid w:val="2C75006C"/>
    <w:rsid w:val="2CA927FA"/>
    <w:rsid w:val="2CDA0C05"/>
    <w:rsid w:val="318F1FBE"/>
    <w:rsid w:val="33C2255B"/>
    <w:rsid w:val="33C55ACA"/>
    <w:rsid w:val="33CC744C"/>
    <w:rsid w:val="33E30779"/>
    <w:rsid w:val="36F154C9"/>
    <w:rsid w:val="370E1BD7"/>
    <w:rsid w:val="388D1222"/>
    <w:rsid w:val="38A7204F"/>
    <w:rsid w:val="38B206B3"/>
    <w:rsid w:val="39CF5216"/>
    <w:rsid w:val="39E048BA"/>
    <w:rsid w:val="39EA4356"/>
    <w:rsid w:val="3B525A81"/>
    <w:rsid w:val="3CEA16F9"/>
    <w:rsid w:val="3D7309E6"/>
    <w:rsid w:val="3D7D1865"/>
    <w:rsid w:val="3F7D438F"/>
    <w:rsid w:val="40181D19"/>
    <w:rsid w:val="40B25CC9"/>
    <w:rsid w:val="41CD339A"/>
    <w:rsid w:val="41F61BE6"/>
    <w:rsid w:val="429F254C"/>
    <w:rsid w:val="42B302B0"/>
    <w:rsid w:val="42BF647C"/>
    <w:rsid w:val="448E5BAE"/>
    <w:rsid w:val="44D83825"/>
    <w:rsid w:val="45F10A05"/>
    <w:rsid w:val="46C96ED7"/>
    <w:rsid w:val="46EB4799"/>
    <w:rsid w:val="46ED4A9D"/>
    <w:rsid w:val="481F5167"/>
    <w:rsid w:val="48D55EB7"/>
    <w:rsid w:val="4ABF7CFD"/>
    <w:rsid w:val="4ADD1B95"/>
    <w:rsid w:val="4C36439B"/>
    <w:rsid w:val="4CE11489"/>
    <w:rsid w:val="4F302BDB"/>
    <w:rsid w:val="4F9361EE"/>
    <w:rsid w:val="50615016"/>
    <w:rsid w:val="517C1148"/>
    <w:rsid w:val="52AA6800"/>
    <w:rsid w:val="532E7431"/>
    <w:rsid w:val="5414395E"/>
    <w:rsid w:val="56386595"/>
    <w:rsid w:val="56EB46B5"/>
    <w:rsid w:val="586E6522"/>
    <w:rsid w:val="5875340D"/>
    <w:rsid w:val="5A0B72FF"/>
    <w:rsid w:val="5C0F7EF6"/>
    <w:rsid w:val="5C401F83"/>
    <w:rsid w:val="5D0B07E3"/>
    <w:rsid w:val="5DDE7CA6"/>
    <w:rsid w:val="5E1C2079"/>
    <w:rsid w:val="5E6301AB"/>
    <w:rsid w:val="5EBC5FAF"/>
    <w:rsid w:val="5FC250E0"/>
    <w:rsid w:val="5FDE5D3B"/>
    <w:rsid w:val="61EA4979"/>
    <w:rsid w:val="629D15BD"/>
    <w:rsid w:val="6397692D"/>
    <w:rsid w:val="6429154F"/>
    <w:rsid w:val="65ED6CD8"/>
    <w:rsid w:val="67240168"/>
    <w:rsid w:val="6A35244A"/>
    <w:rsid w:val="6A885221"/>
    <w:rsid w:val="6BC54253"/>
    <w:rsid w:val="6CAD5413"/>
    <w:rsid w:val="6CB856A6"/>
    <w:rsid w:val="6CEF77DA"/>
    <w:rsid w:val="6D8020EC"/>
    <w:rsid w:val="6E64344D"/>
    <w:rsid w:val="6E8E3022"/>
    <w:rsid w:val="70817FDC"/>
    <w:rsid w:val="71754A1B"/>
    <w:rsid w:val="71B739E8"/>
    <w:rsid w:val="73BE1E10"/>
    <w:rsid w:val="748D4E45"/>
    <w:rsid w:val="74E514C2"/>
    <w:rsid w:val="78A53442"/>
    <w:rsid w:val="79A47C92"/>
    <w:rsid w:val="79F7374E"/>
    <w:rsid w:val="7BC41E31"/>
    <w:rsid w:val="7C710AF4"/>
    <w:rsid w:val="7D2232B3"/>
    <w:rsid w:val="7E3A378D"/>
    <w:rsid w:val="7E3B1473"/>
    <w:rsid w:val="7ECB1729"/>
    <w:rsid w:val="7F255C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2">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2"/>
    <w:semiHidden/>
    <w:unhideWhenUsed/>
    <w:qFormat/>
    <w:uiPriority w:val="99"/>
    <w:pPr>
      <w:spacing w:after="120"/>
    </w:pPr>
  </w:style>
  <w:style w:type="paragraph" w:styleId="4">
    <w:name w:val="Body Text Indent"/>
    <w:basedOn w:val="1"/>
    <w:link w:val="30"/>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7"/>
    <w:qFormat/>
    <w:uiPriority w:val="0"/>
    <w:rPr>
      <w:rFonts w:ascii="宋体" w:hAnsi="Courier New" w:eastAsia="宋体" w:cstheme="minorBidi"/>
      <w:sz w:val="21"/>
      <w:szCs w:val="22"/>
    </w:rPr>
  </w:style>
  <w:style w:type="paragraph" w:styleId="7">
    <w:name w:val="Balloon Text"/>
    <w:basedOn w:val="1"/>
    <w:link w:val="28"/>
    <w:semiHidden/>
    <w:unhideWhenUsed/>
    <w:qFormat/>
    <w:uiPriority w:val="99"/>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mphasis"/>
    <w:basedOn w:val="15"/>
    <w:qFormat/>
    <w:uiPriority w:val="20"/>
    <w:rPr>
      <w:i/>
    </w:rPr>
  </w:style>
  <w:style w:type="character" w:customStyle="1" w:styleId="17">
    <w:name w:val="纯文本 Char"/>
    <w:link w:val="6"/>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5"/>
    <w:qFormat/>
    <w:uiPriority w:val="0"/>
    <w:rPr>
      <w:rFonts w:ascii="宋体" w:hAnsi="Courier New" w:eastAsia="宋体" w:cs="Courier New"/>
      <w:szCs w:val="21"/>
    </w:rPr>
  </w:style>
  <w:style w:type="character" w:customStyle="1" w:styleId="20">
    <w:name w:val="页眉 Char"/>
    <w:basedOn w:val="15"/>
    <w:link w:val="9"/>
    <w:qFormat/>
    <w:uiPriority w:val="99"/>
    <w:rPr>
      <w:rFonts w:ascii="Times New Roman" w:hAnsi="Times New Roman" w:eastAsia="仿宋_GB2312" w:cs="Times New Roman"/>
      <w:sz w:val="18"/>
      <w:szCs w:val="18"/>
    </w:rPr>
  </w:style>
  <w:style w:type="character" w:customStyle="1" w:styleId="21">
    <w:name w:val="页脚 Char"/>
    <w:basedOn w:val="15"/>
    <w:link w:val="8"/>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2"/>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5"/>
    <w:link w:val="11"/>
    <w:qFormat/>
    <w:uiPriority w:val="0"/>
    <w:rPr>
      <w:rFonts w:ascii="Cambria" w:hAnsi="Cambria" w:eastAsia="宋体" w:cs="Times New Roman"/>
      <w:b/>
      <w:bCs/>
      <w:sz w:val="32"/>
      <w:szCs w:val="32"/>
    </w:rPr>
  </w:style>
  <w:style w:type="character" w:customStyle="1" w:styleId="27">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8">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2"/>
    <w:qFormat/>
    <w:uiPriority w:val="0"/>
    <w:rPr>
      <w:rFonts w:ascii="仿宋_GB2312" w:hAnsi="Times New Roman" w:eastAsia="仿宋_GB2312" w:cs="Times New Roman"/>
      <w:kern w:val="0"/>
      <w:sz w:val="28"/>
      <w:szCs w:val="20"/>
    </w:rPr>
  </w:style>
  <w:style w:type="character" w:customStyle="1" w:styleId="32">
    <w:name w:val="正文文本 Char"/>
    <w:basedOn w:val="15"/>
    <w:link w:val="3"/>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正文首行缩进 21"/>
    <w:basedOn w:val="35"/>
    <w:qFormat/>
    <w:uiPriority w:val="0"/>
    <w:pPr>
      <w:ind w:firstLine="420" w:firstLineChars="200"/>
    </w:pPr>
  </w:style>
  <w:style w:type="paragraph" w:customStyle="1" w:styleId="35">
    <w:name w:val="正文文本缩进1"/>
    <w:basedOn w:val="1"/>
    <w:qFormat/>
    <w:uiPriority w:val="0"/>
    <w:pPr>
      <w:ind w:left="2" w:leftChars="-135" w:hanging="285" w:hangingChars="95"/>
    </w:pPr>
    <w:rPr>
      <w:rFonts w:ascii="仿宋_GB2312" w:eastAsia="仿宋_GB2312"/>
      <w:sz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1845</Words>
  <Characters>2053</Characters>
  <Lines>14</Lines>
  <Paragraphs>4</Paragraphs>
  <TotalTime>5</TotalTime>
  <ScaleCrop>false</ScaleCrop>
  <LinksUpToDate>false</LinksUpToDate>
  <CharactersWithSpaces>2173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怪虫ᴶᴱᴬᴺ</cp:lastModifiedBy>
  <cp:lastPrinted>2024-08-28T05:15:00Z</cp:lastPrinted>
  <dcterms:modified xsi:type="dcterms:W3CDTF">2025-07-02T04:11:57Z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AD2C2F05A1A349338389EFD76D161082_12</vt:lpwstr>
  </property>
  <property fmtid="{D5CDD505-2E9C-101B-9397-08002B2CF9AE}" pid="4" name="KSOTemplateDocerSaveRecord">
    <vt:lpwstr>eyJoZGlkIjoiZmI4NTEyMWMzNjNhNDJhOGNkZWU0MTczODU0YThkNjYiLCJ1c2VySWQiOiI0MTg5NjAxMDQifQ==</vt:lpwstr>
  </property>
</Properties>
</file>