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720" w:firstLineChars="200"/>
        <w:rPr>
          <w:rFonts w:hint="eastAsia" w:ascii="Times New Roman" w:hAnsi="宋体" w:eastAsia="宋体" w:cs="Times New Roman"/>
          <w:b/>
          <w:color w:val="000000"/>
          <w:sz w:val="36"/>
          <w:szCs w:val="36"/>
        </w:rPr>
      </w:pPr>
      <w:bookmarkStart w:id="1" w:name="_GoBack"/>
      <w:bookmarkEnd w:id="1"/>
      <w:r>
        <w:rPr>
          <w:rFonts w:hint="eastAsia" w:ascii="Times New Roman" w:hAnsi="宋体" w:eastAsia="宋体" w:cs="Times New Roman"/>
          <w:b/>
          <w:color w:val="000000"/>
          <w:sz w:val="36"/>
          <w:szCs w:val="36"/>
          <w:u w:val="single"/>
        </w:rPr>
        <w:t>江门市技师学院机电工程系</w:t>
      </w:r>
      <w:r>
        <w:rPr>
          <w:rFonts w:hint="eastAsia" w:ascii="Times New Roman" w:hAnsi="宋体" w:eastAsia="宋体" w:cs="Times New Roman"/>
          <w:b/>
          <w:color w:val="000000"/>
          <w:sz w:val="36"/>
          <w:szCs w:val="36"/>
          <w:u w:val="single"/>
          <w:lang w:eastAsia="zh-CN"/>
        </w:rPr>
        <w:t>数控车床升级改造为车铣复合机床专用材料购置项目</w:t>
      </w:r>
      <w:r>
        <w:rPr>
          <w:rFonts w:hint="eastAsia" w:ascii="Times New Roman" w:hAnsi="宋体" w:eastAsia="宋体" w:cs="Times New Roman"/>
          <w:b/>
          <w:color w:val="000000"/>
          <w:sz w:val="36"/>
          <w:szCs w:val="36"/>
        </w:rPr>
        <w:t>评分表 </w:t>
      </w:r>
    </w:p>
    <w:p>
      <w:pPr>
        <w:pStyle w:val="2"/>
        <w:spacing w:line="480" w:lineRule="exact"/>
        <w:jc w:val="center"/>
        <w:rPr>
          <w:rFonts w:hint="eastAsia" w:hAnsi="宋体"/>
          <w:b/>
          <w:color w:val="000000"/>
          <w:sz w:val="36"/>
          <w:szCs w:val="36"/>
        </w:rPr>
      </w:pPr>
    </w:p>
    <w:p>
      <w:pPr>
        <w:pStyle w:val="2"/>
        <w:spacing w:line="480" w:lineRule="exact"/>
        <w:ind w:firstLine="480" w:firstLineChars="200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本次采用综合评分法，权重分配为：价格部份权重为</w:t>
      </w:r>
      <w:r>
        <w:rPr>
          <w:rFonts w:hAnsi="宋体" w:cs="宋体"/>
          <w:color w:val="000000"/>
          <w:sz w:val="24"/>
          <w:szCs w:val="24"/>
        </w:rPr>
        <w:t>7</w:t>
      </w:r>
      <w:r>
        <w:rPr>
          <w:rFonts w:hint="eastAsia" w:hAnsi="宋体" w:cs="宋体"/>
          <w:color w:val="000000"/>
          <w:sz w:val="24"/>
          <w:szCs w:val="24"/>
        </w:rPr>
        <w:t>0%，商务部分权重为</w:t>
      </w:r>
      <w:r>
        <w:rPr>
          <w:rFonts w:hAnsi="宋体" w:cs="宋体"/>
          <w:color w:val="000000"/>
          <w:sz w:val="24"/>
          <w:szCs w:val="24"/>
        </w:rPr>
        <w:t>30</w:t>
      </w:r>
      <w:r>
        <w:rPr>
          <w:rFonts w:hint="eastAsia" w:hAnsi="宋体" w:cs="宋体"/>
          <w:color w:val="000000"/>
          <w:sz w:val="24"/>
          <w:szCs w:val="24"/>
        </w:rPr>
        <w:t>%。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559"/>
        <w:gridCol w:w="2410"/>
        <w:gridCol w:w="1417"/>
        <w:gridCol w:w="8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4" w:hRule="atLeast"/>
          <w:jc w:val="center"/>
        </w:trPr>
        <w:tc>
          <w:tcPr>
            <w:tcW w:w="146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评分（满分100）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7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类别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配分</w:t>
            </w:r>
          </w:p>
        </w:tc>
        <w:tc>
          <w:tcPr>
            <w:tcW w:w="85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具体内容要求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9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13"/>
              <w:spacing w:line="340" w:lineRule="atLeast"/>
              <w:ind w:firstLine="0" w:firstLineChars="0"/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价格部分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13"/>
              <w:spacing w:line="340" w:lineRule="atLeast"/>
              <w:ind w:firstLine="0" w:firstLineChars="0"/>
              <w:jc w:val="center"/>
              <w:rPr>
                <w:rFonts w:hint="eastAsia"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</w:t>
            </w:r>
          </w:p>
        </w:tc>
        <w:tc>
          <w:tcPr>
            <w:tcW w:w="853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价格分计算方法：满足询价文件要求且投标价格最低的投标报价为评标基准价，其价格分为满分；其他投标人的价格分统一按照下列公式计算：投标报价得分=(评标基准价／投标报价)×（价格权重</w:t>
            </w:r>
            <w:r>
              <w:rPr>
                <w:rFonts w:ascii="宋体" w:hAnsi="宋体"/>
                <w:color w:val="000000"/>
                <w:sz w:val="24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</w:rPr>
              <w:t>0%）×100。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06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商务部分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服务</w:t>
            </w:r>
            <w:bookmarkStart w:id="0" w:name="_Hlk4583516"/>
            <w:r>
              <w:rPr>
                <w:rFonts w:hint="eastAsia" w:ascii="宋体" w:hAnsi="宋体"/>
                <w:color w:val="000000"/>
                <w:sz w:val="24"/>
              </w:rPr>
              <w:t>承诺</w:t>
            </w:r>
            <w:bookmarkEnd w:id="0"/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30</w:t>
            </w:r>
            <w:r>
              <w:rPr>
                <w:rFonts w:hint="eastAsia" w:ascii="宋体" w:hAnsi="宋体"/>
                <w:color w:val="000000"/>
                <w:sz w:val="24"/>
              </w:rPr>
              <w:t>分</w:t>
            </w:r>
          </w:p>
        </w:tc>
        <w:tc>
          <w:tcPr>
            <w:tcW w:w="853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供货时效（承诺按询价文件要求：在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签定合同</w:t>
            </w:r>
            <w:r>
              <w:rPr>
                <w:rFonts w:hint="eastAsia" w:ascii="宋体" w:hAnsi="宋体"/>
                <w:color w:val="000000"/>
                <w:sz w:val="24"/>
              </w:rPr>
              <w:t>后5个工作日内送货为优，10个工作日内送货为良，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000000"/>
                <w:sz w:val="24"/>
              </w:rPr>
              <w:t>个工作日内送货为中，超过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000000"/>
                <w:sz w:val="24"/>
              </w:rPr>
              <w:t>个工作日送货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为差</w:t>
            </w:r>
            <w:r>
              <w:rPr>
                <w:rFonts w:hint="eastAsia" w:ascii="宋体" w:hAnsi="宋体"/>
                <w:color w:val="000000"/>
                <w:sz w:val="24"/>
              </w:rPr>
              <w:t>），满分为</w:t>
            </w:r>
            <w:r>
              <w:rPr>
                <w:rFonts w:ascii="宋体" w:hAnsi="宋体"/>
                <w:color w:val="000000"/>
                <w:sz w:val="24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</w:rPr>
              <w:t>分（优10分，良7分，中4分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差0分</w:t>
            </w:r>
            <w:r>
              <w:rPr>
                <w:rFonts w:hint="eastAsia" w:ascii="宋体" w:hAnsi="宋体"/>
                <w:color w:val="000000"/>
                <w:sz w:val="24"/>
              </w:rPr>
              <w:t>）。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送货服务（保证送货服务，保质送货过程中设备的完好），满分为</w:t>
            </w:r>
            <w:r>
              <w:rPr>
                <w:rFonts w:ascii="宋体" w:hAnsi="宋体"/>
                <w:color w:val="000000"/>
                <w:sz w:val="24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</w:rPr>
              <w:t>分（优10分，良7分，中4分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差0分</w:t>
            </w:r>
            <w:r>
              <w:rPr>
                <w:rFonts w:hint="eastAsia" w:ascii="宋体" w:hAnsi="宋体"/>
                <w:color w:val="000000"/>
                <w:sz w:val="24"/>
              </w:rPr>
              <w:t>）。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产品质量服务（问题物品包退、包换及设备质量返修等后续服务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处理时间要及时</w:t>
            </w:r>
            <w:r>
              <w:rPr>
                <w:rFonts w:hint="eastAsia" w:ascii="宋体" w:hAnsi="宋体"/>
                <w:color w:val="000000"/>
                <w:sz w:val="24"/>
              </w:rPr>
              <w:t>），满分为</w:t>
            </w:r>
            <w:r>
              <w:rPr>
                <w:rFonts w:ascii="宋体" w:hAnsi="宋体"/>
                <w:color w:val="000000"/>
                <w:sz w:val="24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</w:rPr>
              <w:t>分（优10分，良7分，中4分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差0分</w:t>
            </w:r>
            <w:r>
              <w:rPr>
                <w:rFonts w:hint="eastAsia" w:ascii="宋体" w:hAnsi="宋体"/>
                <w:color w:val="000000"/>
                <w:sz w:val="24"/>
              </w:rPr>
              <w:t>）。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ind w:firstLine="137" w:firstLineChars="49"/>
        <w:jc w:val="center"/>
        <w:rPr>
          <w:rFonts w:hint="eastAsia" w:ascii="宋体" w:hAnsi="宋体"/>
          <w:color w:val="000000"/>
          <w:sz w:val="28"/>
          <w:szCs w:val="28"/>
        </w:rPr>
      </w:pPr>
    </w:p>
    <w:sectPr>
      <w:headerReference r:id="rId3" w:type="default"/>
      <w:headerReference r:id="rId4" w:type="even"/>
      <w:pgSz w:w="16838" w:h="11906" w:orient="landscape"/>
      <w:pgMar w:top="1417" w:right="851" w:bottom="1417" w:left="851" w:header="567" w:footer="567" w:gutter="0"/>
      <w:paperSrc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697D3D"/>
    <w:multiLevelType w:val="singleLevel"/>
    <w:tmpl w:val="6F697D3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Nzk2ZGI5NWQzNzNlNjUwNWQ5ZjkyMDA5OGVmYTcifQ=="/>
  </w:docVars>
  <w:rsids>
    <w:rsidRoot w:val="000644A6"/>
    <w:rsid w:val="00001BE4"/>
    <w:rsid w:val="000048BD"/>
    <w:rsid w:val="00017E0B"/>
    <w:rsid w:val="000320DA"/>
    <w:rsid w:val="00041EC6"/>
    <w:rsid w:val="0006315A"/>
    <w:rsid w:val="000644A6"/>
    <w:rsid w:val="000823E6"/>
    <w:rsid w:val="0009041E"/>
    <w:rsid w:val="000E0302"/>
    <w:rsid w:val="000E19C7"/>
    <w:rsid w:val="000E6B41"/>
    <w:rsid w:val="000F5D77"/>
    <w:rsid w:val="000F6BD5"/>
    <w:rsid w:val="00103CC5"/>
    <w:rsid w:val="00112876"/>
    <w:rsid w:val="001237EE"/>
    <w:rsid w:val="00126A63"/>
    <w:rsid w:val="00141D14"/>
    <w:rsid w:val="00151563"/>
    <w:rsid w:val="001665F3"/>
    <w:rsid w:val="001859AC"/>
    <w:rsid w:val="001A0083"/>
    <w:rsid w:val="001A3534"/>
    <w:rsid w:val="001B6B4E"/>
    <w:rsid w:val="001C2962"/>
    <w:rsid w:val="001D6B02"/>
    <w:rsid w:val="001E0A36"/>
    <w:rsid w:val="001E2B37"/>
    <w:rsid w:val="0020295E"/>
    <w:rsid w:val="002110E5"/>
    <w:rsid w:val="00231EEF"/>
    <w:rsid w:val="00247014"/>
    <w:rsid w:val="00261263"/>
    <w:rsid w:val="00277B3E"/>
    <w:rsid w:val="00280E3B"/>
    <w:rsid w:val="00284EDA"/>
    <w:rsid w:val="002A31A3"/>
    <w:rsid w:val="002A36AD"/>
    <w:rsid w:val="002A6787"/>
    <w:rsid w:val="002B11F8"/>
    <w:rsid w:val="002C7C66"/>
    <w:rsid w:val="002D364D"/>
    <w:rsid w:val="002E5F4D"/>
    <w:rsid w:val="002F30BC"/>
    <w:rsid w:val="003020D9"/>
    <w:rsid w:val="003040E9"/>
    <w:rsid w:val="00304145"/>
    <w:rsid w:val="00304237"/>
    <w:rsid w:val="0034045D"/>
    <w:rsid w:val="0034724B"/>
    <w:rsid w:val="0036617E"/>
    <w:rsid w:val="003858E8"/>
    <w:rsid w:val="0039395D"/>
    <w:rsid w:val="00407CF9"/>
    <w:rsid w:val="004174BF"/>
    <w:rsid w:val="004204E7"/>
    <w:rsid w:val="00432E42"/>
    <w:rsid w:val="00445026"/>
    <w:rsid w:val="0045007C"/>
    <w:rsid w:val="004843A0"/>
    <w:rsid w:val="004933E0"/>
    <w:rsid w:val="004B704C"/>
    <w:rsid w:val="004E5336"/>
    <w:rsid w:val="004F1662"/>
    <w:rsid w:val="0050121B"/>
    <w:rsid w:val="00506B98"/>
    <w:rsid w:val="0051326D"/>
    <w:rsid w:val="0052092A"/>
    <w:rsid w:val="005217B4"/>
    <w:rsid w:val="005300DB"/>
    <w:rsid w:val="005315AD"/>
    <w:rsid w:val="00533390"/>
    <w:rsid w:val="00556AD9"/>
    <w:rsid w:val="00570104"/>
    <w:rsid w:val="00580C4E"/>
    <w:rsid w:val="005949DB"/>
    <w:rsid w:val="005A00C2"/>
    <w:rsid w:val="005C0FA3"/>
    <w:rsid w:val="005E63EE"/>
    <w:rsid w:val="006178A7"/>
    <w:rsid w:val="00653CAD"/>
    <w:rsid w:val="00671BB7"/>
    <w:rsid w:val="00676C64"/>
    <w:rsid w:val="00682BC5"/>
    <w:rsid w:val="006A1379"/>
    <w:rsid w:val="006A65DB"/>
    <w:rsid w:val="006C0F1F"/>
    <w:rsid w:val="00700AFD"/>
    <w:rsid w:val="007034F1"/>
    <w:rsid w:val="0074360D"/>
    <w:rsid w:val="007552A6"/>
    <w:rsid w:val="0076089E"/>
    <w:rsid w:val="0078037F"/>
    <w:rsid w:val="007843C6"/>
    <w:rsid w:val="00784562"/>
    <w:rsid w:val="00787887"/>
    <w:rsid w:val="00794AEF"/>
    <w:rsid w:val="00796929"/>
    <w:rsid w:val="007B085E"/>
    <w:rsid w:val="007B2721"/>
    <w:rsid w:val="007B4CF0"/>
    <w:rsid w:val="007C2E05"/>
    <w:rsid w:val="007D5C99"/>
    <w:rsid w:val="00813ABC"/>
    <w:rsid w:val="00844EA2"/>
    <w:rsid w:val="00856179"/>
    <w:rsid w:val="00856463"/>
    <w:rsid w:val="008578AE"/>
    <w:rsid w:val="00857E4E"/>
    <w:rsid w:val="00863A92"/>
    <w:rsid w:val="008C6C27"/>
    <w:rsid w:val="008C7A5F"/>
    <w:rsid w:val="008D4917"/>
    <w:rsid w:val="008E21B1"/>
    <w:rsid w:val="008F200D"/>
    <w:rsid w:val="00900536"/>
    <w:rsid w:val="00921651"/>
    <w:rsid w:val="009245BC"/>
    <w:rsid w:val="00962A1C"/>
    <w:rsid w:val="0096483E"/>
    <w:rsid w:val="009658A5"/>
    <w:rsid w:val="009B7DAA"/>
    <w:rsid w:val="009C1A27"/>
    <w:rsid w:val="009C6D8A"/>
    <w:rsid w:val="009D5155"/>
    <w:rsid w:val="009E2B5E"/>
    <w:rsid w:val="009E5E6E"/>
    <w:rsid w:val="009E7BDA"/>
    <w:rsid w:val="009F73A6"/>
    <w:rsid w:val="00A247EA"/>
    <w:rsid w:val="00A370C0"/>
    <w:rsid w:val="00A40088"/>
    <w:rsid w:val="00A50F66"/>
    <w:rsid w:val="00A67186"/>
    <w:rsid w:val="00A82F0C"/>
    <w:rsid w:val="00A927A3"/>
    <w:rsid w:val="00AF00AE"/>
    <w:rsid w:val="00AF6921"/>
    <w:rsid w:val="00B1332F"/>
    <w:rsid w:val="00B16B04"/>
    <w:rsid w:val="00B21D88"/>
    <w:rsid w:val="00B327F3"/>
    <w:rsid w:val="00B61961"/>
    <w:rsid w:val="00B9410E"/>
    <w:rsid w:val="00BC6864"/>
    <w:rsid w:val="00BD1D7A"/>
    <w:rsid w:val="00BE2CEC"/>
    <w:rsid w:val="00BF1241"/>
    <w:rsid w:val="00C36164"/>
    <w:rsid w:val="00C5746A"/>
    <w:rsid w:val="00C70056"/>
    <w:rsid w:val="00C86C77"/>
    <w:rsid w:val="00C87CF2"/>
    <w:rsid w:val="00C91F76"/>
    <w:rsid w:val="00CA6597"/>
    <w:rsid w:val="00CD0494"/>
    <w:rsid w:val="00CD0ED6"/>
    <w:rsid w:val="00CD6644"/>
    <w:rsid w:val="00CD6866"/>
    <w:rsid w:val="00CE0AAD"/>
    <w:rsid w:val="00CE4835"/>
    <w:rsid w:val="00CF1B05"/>
    <w:rsid w:val="00CF647A"/>
    <w:rsid w:val="00D04B0F"/>
    <w:rsid w:val="00D160AA"/>
    <w:rsid w:val="00D161E2"/>
    <w:rsid w:val="00D44D51"/>
    <w:rsid w:val="00D46BE1"/>
    <w:rsid w:val="00D52222"/>
    <w:rsid w:val="00D53C58"/>
    <w:rsid w:val="00D65E8F"/>
    <w:rsid w:val="00D85374"/>
    <w:rsid w:val="00D87300"/>
    <w:rsid w:val="00DA22BA"/>
    <w:rsid w:val="00DB02CB"/>
    <w:rsid w:val="00DB3DBA"/>
    <w:rsid w:val="00DB5BDE"/>
    <w:rsid w:val="00DD2D14"/>
    <w:rsid w:val="00E26D39"/>
    <w:rsid w:val="00E34B61"/>
    <w:rsid w:val="00E37E05"/>
    <w:rsid w:val="00E4348E"/>
    <w:rsid w:val="00E479CE"/>
    <w:rsid w:val="00E70EE5"/>
    <w:rsid w:val="00EA0746"/>
    <w:rsid w:val="00EF6336"/>
    <w:rsid w:val="00EF67AF"/>
    <w:rsid w:val="00EF7768"/>
    <w:rsid w:val="00EF7811"/>
    <w:rsid w:val="00F40F91"/>
    <w:rsid w:val="00F41311"/>
    <w:rsid w:val="00F45A10"/>
    <w:rsid w:val="00F45B28"/>
    <w:rsid w:val="00F7234F"/>
    <w:rsid w:val="00F757E3"/>
    <w:rsid w:val="00F77131"/>
    <w:rsid w:val="00FA244A"/>
    <w:rsid w:val="00FB43E2"/>
    <w:rsid w:val="00FB4F09"/>
    <w:rsid w:val="00FE1954"/>
    <w:rsid w:val="00FF2ACC"/>
    <w:rsid w:val="00FF366D"/>
    <w:rsid w:val="09FA27AB"/>
    <w:rsid w:val="30C1608D"/>
    <w:rsid w:val="36820E39"/>
    <w:rsid w:val="45FF09E0"/>
    <w:rsid w:val="49B37C9A"/>
    <w:rsid w:val="55735662"/>
    <w:rsid w:val="6EDC0EAD"/>
    <w:rsid w:val="74F018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0"/>
  </w:style>
  <w:style w:type="character" w:customStyle="1" w:styleId="10">
    <w:name w:val="纯文本 Char"/>
    <w:link w:val="2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批注框文本 Char"/>
    <w:link w:val="3"/>
    <w:uiPriority w:val="0"/>
    <w:rPr>
      <w:kern w:val="2"/>
      <w:sz w:val="18"/>
      <w:szCs w:val="18"/>
    </w:rPr>
  </w:style>
  <w:style w:type="character" w:customStyle="1" w:styleId="12">
    <w:name w:val="页脚 Char"/>
    <w:link w:val="4"/>
    <w:uiPriority w:val="99"/>
    <w:rPr>
      <w:kern w:val="2"/>
      <w:sz w:val="18"/>
      <w:szCs w:val="18"/>
    </w:rPr>
  </w:style>
  <w:style w:type="paragraph" w:customStyle="1" w:styleId="13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382</Words>
  <Characters>407</Characters>
  <Lines>3</Lines>
  <Paragraphs>1</Paragraphs>
  <TotalTime>4</TotalTime>
  <ScaleCrop>false</ScaleCrop>
  <LinksUpToDate>false</LinksUpToDate>
  <CharactersWithSpaces>407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2020-06-06T22:59:00Z</dcterms:created>
  <dc:creator>lenovo</dc:creator>
  <cp:lastModifiedBy>闭月羞草</cp:lastModifiedBy>
  <cp:lastPrinted>2020-07-02T09:19:00Z</cp:lastPrinted>
  <dcterms:modified xsi:type="dcterms:W3CDTF">2024-05-13T01:36:14Z</dcterms:modified>
  <dc:title>江门市技师学院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8F9D880CE4F445C2A732F7CA6369AD7F_13</vt:lpwstr>
  </property>
</Properties>
</file>